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9E" w:rsidRPr="009667DE" w:rsidRDefault="0002144B" w:rsidP="0002144B">
      <w:pPr>
        <w:jc w:val="center"/>
        <w:rPr>
          <w:b/>
        </w:rPr>
      </w:pPr>
      <w:r w:rsidRPr="009667DE">
        <w:rPr>
          <w:b/>
        </w:rPr>
        <w:t>PRILOG VIII</w:t>
      </w:r>
    </w:p>
    <w:p w:rsidR="0002144B" w:rsidRPr="009667DE" w:rsidRDefault="0002144B" w:rsidP="0002144B">
      <w:pPr>
        <w:jc w:val="center"/>
        <w:rPr>
          <w:b/>
        </w:rPr>
      </w:pPr>
      <w:r w:rsidRPr="009667DE">
        <w:rPr>
          <w:b/>
        </w:rPr>
        <w:t>Pojašnjenje kriterija odabira</w:t>
      </w:r>
      <w:r w:rsidR="00AE1422" w:rsidRPr="009667DE">
        <w:rPr>
          <w:b/>
        </w:rPr>
        <w:t xml:space="preserve"> za TO 1.1.1.</w:t>
      </w:r>
    </w:p>
    <w:p w:rsidR="0002144B" w:rsidRPr="009667DE" w:rsidRDefault="0002144B" w:rsidP="0002144B">
      <w:pPr>
        <w:jc w:val="center"/>
      </w:pPr>
    </w:p>
    <w:tbl>
      <w:tblPr>
        <w:tblW w:w="10072" w:type="dxa"/>
        <w:shd w:val="clear" w:color="auto" w:fill="FFFFFF"/>
        <w:tblCellMar>
          <w:top w:w="15" w:type="dxa"/>
          <w:left w:w="15" w:type="dxa"/>
          <w:bottom w:w="15" w:type="dxa"/>
          <w:right w:w="15" w:type="dxa"/>
        </w:tblCellMar>
        <w:tblLook w:val="04A0" w:firstRow="1" w:lastRow="0" w:firstColumn="1" w:lastColumn="0" w:noHBand="0" w:noVBand="1"/>
      </w:tblPr>
      <w:tblGrid>
        <w:gridCol w:w="324"/>
        <w:gridCol w:w="8584"/>
        <w:gridCol w:w="1164"/>
      </w:tblGrid>
      <w:tr w:rsidR="009667DE" w:rsidRPr="009667DE" w:rsidTr="00966EF4">
        <w:trPr>
          <w:trHeight w:val="300"/>
        </w:trPr>
        <w:tc>
          <w:tcPr>
            <w:tcW w:w="10072" w:type="dxa"/>
            <w:gridSpan w:val="3"/>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KRITERIJI ODABIRA - MJERA 1.1.1. Restrukturiranje, modernizacija i povećanje konkurentnosti poljoprivrednih gospodarstava</w:t>
            </w:r>
          </w:p>
        </w:tc>
      </w:tr>
      <w:tr w:rsidR="009667DE" w:rsidRPr="009667DE" w:rsidTr="00966EF4">
        <w:trPr>
          <w:trHeight w:val="300"/>
        </w:trPr>
        <w:tc>
          <w:tcPr>
            <w:tcW w:w="8908"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KRITERIJ</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Bodovi</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1</w:t>
            </w:r>
            <w:r w:rsidRPr="009667DE">
              <w:rPr>
                <w:rFonts w:ascii="Helvetica" w:eastAsia="Times New Roman" w:hAnsi="Helvetica" w:cs="Times New Roman"/>
                <w:b/>
                <w:bCs/>
                <w:sz w:val="21"/>
                <w:szCs w:val="21"/>
              </w:rPr>
              <w:br/>
            </w: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Veličina gospodarstva SO</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max. 20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do 14.999</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15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od 15.000 do 49.999</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20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od 50.000 do 99.999</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18</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od 100.000 do 499.999</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10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preko 500.000</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2</w:t>
            </w: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 xml:space="preserve">Udruživanje proizvođača (proizvođačka grupa/organizacija, </w:t>
            </w:r>
            <w:r w:rsidR="00AE1422" w:rsidRPr="009667DE">
              <w:rPr>
                <w:rFonts w:ascii="Helvetica" w:eastAsia="Times New Roman" w:hAnsi="Helvetica" w:cs="Times New Roman"/>
                <w:b/>
                <w:bCs/>
                <w:sz w:val="21"/>
                <w:szCs w:val="21"/>
              </w:rPr>
              <w:t>zadruga ili zajednički projekt)</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20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3</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Stručna sprema i radno iskustvo nositelja ili člana/odgovorne osobe ili zaposlenika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max. 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VSS, VŠS agronomskog ili veterinarskog smjera ili min. 8 g. radnog iskustva u poljoprivredi</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SSS agronomskog ili veterinarskog smjera ili min. 4 g. radnog iskustva u poljoprivredi</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3</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4</w:t>
            </w: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Ulaganje u prioritetne sektore (voće i povrće, stočarstvo (uključujući peradarstvo))</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20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5</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Tip ulaganja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max. 15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ulaganje u izgradnju, rekonstrukciju i/ili modernizaciju (sa ili bez opremanja)</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15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ulaganje u opremanje</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10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nabava poljoprivredne mehanizacije</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6</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Ulaganjem se uvodi inovativni tehnološki proces2</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10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7</w:t>
            </w: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Ulaganje doprinosi obnovi, očuvanju i poboljšanju ekosustava (P4)</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max. 10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ulaganje doprinosi boljem upravljanju vodama, uključujući upravljanje gnojivima i pesticidima (fokus područje 4B)</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ulaganje doprinosi sprečavanju erozije tla i bolje upravljanje tlom (fokus područje 4 C)</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8</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Ulaganje doprinosi promicanju učinkovitosti resursa te poticanje pomaka prema gospodarstvu s niskom</w:t>
            </w:r>
            <w:r w:rsidRPr="009667DE">
              <w:rPr>
                <w:rFonts w:ascii="Helvetica" w:eastAsia="Times New Roman" w:hAnsi="Helvetica" w:cs="Times New Roman"/>
                <w:b/>
                <w:bCs/>
                <w:sz w:val="21"/>
                <w:szCs w:val="21"/>
              </w:rPr>
              <w:br/>
              <w:t>razinom ugljika otpornom na klimatske promjene (P5)</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max. 15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ulaganje doprinosi povećanju učinkovitosti u korištenju vode u poljoprivredi</w:t>
            </w:r>
          </w:p>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(fokus područje 5A)</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ulaganje doprinosi povećanju učinkovitosti u korištenju energije u poljoprivredi i preradi hrane (fokus područje 5B)</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line="240" w:lineRule="auto"/>
              <w:rPr>
                <w:rFonts w:ascii="Helvetica" w:eastAsia="Times New Roman" w:hAnsi="Helvetica" w:cs="Times New Roman"/>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ulaganje doprinosi smanjenju emisije stakleničkih plinova i amonijaka iz poljoprivrede (fokus područje 5D)</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9</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Ulaganje u područjima sa prirodnim ograničenjima i ostalim posebnim ograničenjima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 xml:space="preserve">10 </w:t>
            </w: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Doprinos ciljevima Strateških dokumenata</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max. 10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Projekt je u skladu s ciljevima LRS</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Doprinos ciljevima relevantnih Strateških dokumenata (sektorskih, lokalnih, regionalnih, nacionalnih i EU)</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11</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Doprninos horizontalnim ciljevima (zaštita okoliša, klimatske promjene, inovacije)</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max. 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Projekt doprinosi najmanje jednom horizontalnom cilju LRS</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12</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Doprinos zapošljavanju</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max. 10</w:t>
            </w:r>
          </w:p>
        </w:tc>
      </w:tr>
      <w:tr w:rsidR="009667DE" w:rsidRPr="009667DE" w:rsidTr="00966EF4">
        <w:trPr>
          <w:trHeight w:val="149"/>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Otvaranje više od jednog radnog mjesta</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Projektom se zapošljava najmanje 1 pripadnik ranjivih skupina (ranjive skupine definirane natječajnom dokumentacijom)</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13</w:t>
            </w: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Jačanje konkurentnosti</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max. 10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Rast prihoda korisnika projekta do 10% u odnosu na godinu prije početka projekta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Rast prihoda korisnika za više od 10% u odnosu na godinu prije početka projekta</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10</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14</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Usmjerenost ulaganja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r w:rsidRPr="009667DE">
              <w:rPr>
                <w:rFonts w:ascii="Helvetica" w:eastAsia="Times New Roman" w:hAnsi="Helvetica" w:cs="Times New Roman"/>
                <w:b/>
                <w:bCs/>
                <w:sz w:val="21"/>
                <w:szCs w:val="21"/>
              </w:rPr>
              <w:t>max. 5</w:t>
            </w:r>
          </w:p>
        </w:tc>
      </w:tr>
      <w:tr w:rsidR="009667DE" w:rsidRPr="009667DE"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
                <w:bCs/>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Ulaganje se obavlja u području jednog od prioritetnih sektora (voće, povrće, ljekovito bilje, stočarstvo)</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9667DE" w:rsidRDefault="0002144B" w:rsidP="00966EF4">
            <w:pPr>
              <w:shd w:val="clear" w:color="auto" w:fill="FFFFFF" w:themeFill="background1"/>
              <w:spacing w:after="150" w:line="240" w:lineRule="auto"/>
              <w:rPr>
                <w:rFonts w:ascii="Helvetica" w:eastAsia="Times New Roman" w:hAnsi="Helvetica" w:cs="Times New Roman"/>
                <w:bCs/>
                <w:sz w:val="21"/>
                <w:szCs w:val="21"/>
              </w:rPr>
            </w:pPr>
            <w:r w:rsidRPr="009667DE">
              <w:rPr>
                <w:rFonts w:ascii="Helvetica" w:eastAsia="Times New Roman" w:hAnsi="Helvetica" w:cs="Times New Roman"/>
                <w:bCs/>
                <w:sz w:val="21"/>
                <w:szCs w:val="21"/>
              </w:rPr>
              <w:t>5</w:t>
            </w:r>
          </w:p>
        </w:tc>
      </w:tr>
      <w:tr w:rsidR="009667DE" w:rsidRPr="009667DE" w:rsidTr="00966EF4">
        <w:trPr>
          <w:trHeight w:val="300"/>
        </w:trPr>
        <w:tc>
          <w:tcPr>
            <w:tcW w:w="8908" w:type="dxa"/>
            <w:gridSpan w:val="2"/>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MAKSIMALNI BROJ BODOVA</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140</w:t>
            </w:r>
          </w:p>
        </w:tc>
      </w:tr>
      <w:tr w:rsidR="009667DE" w:rsidRPr="009667DE" w:rsidTr="00966EF4">
        <w:trPr>
          <w:trHeight w:val="300"/>
        </w:trPr>
        <w:tc>
          <w:tcPr>
            <w:tcW w:w="8908"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PRAG PROLAZNOSTI</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9667DE" w:rsidRDefault="0002144B" w:rsidP="00966EF4">
            <w:pPr>
              <w:shd w:val="clear" w:color="auto" w:fill="FFFFFF" w:themeFill="background1"/>
              <w:spacing w:after="150" w:line="240" w:lineRule="auto"/>
              <w:rPr>
                <w:rFonts w:ascii="Helvetica" w:eastAsia="Times New Roman" w:hAnsi="Helvetica" w:cs="Times New Roman"/>
                <w:sz w:val="21"/>
                <w:szCs w:val="21"/>
              </w:rPr>
            </w:pPr>
            <w:r w:rsidRPr="009667DE">
              <w:rPr>
                <w:rFonts w:ascii="Helvetica" w:eastAsia="Times New Roman" w:hAnsi="Helvetica" w:cs="Times New Roman"/>
                <w:b/>
                <w:bCs/>
                <w:sz w:val="21"/>
                <w:szCs w:val="21"/>
              </w:rPr>
              <w:t>30</w:t>
            </w:r>
          </w:p>
        </w:tc>
      </w:tr>
    </w:tbl>
    <w:p w:rsidR="0002144B" w:rsidRPr="009667DE" w:rsidRDefault="0002144B" w:rsidP="0002144B">
      <w:pPr>
        <w:jc w:val="center"/>
      </w:pPr>
    </w:p>
    <w:p w:rsidR="00721752" w:rsidRPr="009667DE" w:rsidRDefault="00721752" w:rsidP="002E20E8">
      <w:pPr>
        <w:rPr>
          <w:b/>
        </w:rPr>
      </w:pPr>
    </w:p>
    <w:p w:rsidR="00721752" w:rsidRPr="009667DE" w:rsidRDefault="00721752" w:rsidP="002E20E8">
      <w:pPr>
        <w:rPr>
          <w:b/>
        </w:rPr>
      </w:pPr>
    </w:p>
    <w:p w:rsidR="00721752" w:rsidRPr="009667DE" w:rsidRDefault="00721752" w:rsidP="002E20E8">
      <w:pPr>
        <w:rPr>
          <w:b/>
        </w:rPr>
      </w:pPr>
    </w:p>
    <w:p w:rsidR="00721752" w:rsidRPr="009667DE" w:rsidRDefault="00721752" w:rsidP="002E20E8">
      <w:pPr>
        <w:rPr>
          <w:b/>
        </w:rPr>
      </w:pPr>
    </w:p>
    <w:p w:rsidR="00721752" w:rsidRPr="009667DE" w:rsidRDefault="00721752" w:rsidP="002E20E8">
      <w:pPr>
        <w:rPr>
          <w:b/>
        </w:rPr>
      </w:pPr>
    </w:p>
    <w:p w:rsidR="002E20E8" w:rsidRPr="009667DE" w:rsidRDefault="002E20E8" w:rsidP="002E20E8">
      <w:pPr>
        <w:rPr>
          <w:b/>
        </w:rPr>
      </w:pPr>
      <w:r w:rsidRPr="009667DE">
        <w:rPr>
          <w:b/>
        </w:rPr>
        <w:lastRenderedPageBreak/>
        <w:t>Kriterij odabira 1</w:t>
      </w:r>
    </w:p>
    <w:p w:rsidR="002E20E8" w:rsidRPr="009667DE" w:rsidRDefault="002E20E8" w:rsidP="002E20E8">
      <w:r w:rsidRPr="009667DE">
        <w:t>Da bi nositelj projekta ostvario bodove po navedenom kriteriju mora dostaviti Potvrdu o ekonomskoj veličini poljoprivrednog gospodarstva, izdane od Savjetodavne službe nakon objave Natječaja te potpisane od djelatnika Savjetodavne službe. Nositelj će si dodijeliti odgovarajuće bodove sukladno ekonomskoj veličini. Izračun ekonomske veličine poljoprivrednog gospodarstva nužan je za utvrđivanje prihvatljivosti korisnika, odnosno dokazivanje ekonomske veličine poljoprivrednog gospodarstva. Izračun ekonomske veličine poljoprivrednog gospodarstva obvezan je za sve korisnike. Mora biti potpisan od strane službenika Savjetodavne službe, izdan nakon objave Natječaja</w:t>
      </w:r>
      <w:r w:rsidR="00D064DD" w:rsidRPr="009667DE">
        <w:t>.</w:t>
      </w:r>
    </w:p>
    <w:p w:rsidR="000A0E17" w:rsidRPr="009667DE" w:rsidRDefault="000A0E17" w:rsidP="002E20E8">
      <w:pPr>
        <w:rPr>
          <w:b/>
        </w:rPr>
      </w:pPr>
      <w:r w:rsidRPr="009667DE">
        <w:rPr>
          <w:b/>
        </w:rPr>
        <w:t>Kriterij</w:t>
      </w:r>
      <w:r w:rsidR="00035BDD" w:rsidRPr="009667DE">
        <w:rPr>
          <w:b/>
        </w:rPr>
        <w:t xml:space="preserve"> odabira</w:t>
      </w:r>
      <w:r w:rsidRPr="009667DE">
        <w:rPr>
          <w:b/>
        </w:rPr>
        <w:t xml:space="preserve"> 2</w:t>
      </w:r>
    </w:p>
    <w:p w:rsidR="002E7C71" w:rsidRPr="009667DE" w:rsidRDefault="002E7C71" w:rsidP="002E20E8">
      <w:r w:rsidRPr="009667DE">
        <w:t>Za ostvarivanje bodova po ovom kriteriju potrebno je priložiti Imenik članova zadruge/ Popis članova proizvođačke organizacije koji trebaju biti potpisani i ovjereni od strane odgovorne osobe.</w:t>
      </w:r>
    </w:p>
    <w:p w:rsidR="00131487" w:rsidRPr="009667DE" w:rsidRDefault="00131487" w:rsidP="002E20E8">
      <w:pPr>
        <w:rPr>
          <w:b/>
        </w:rPr>
      </w:pPr>
      <w:r w:rsidRPr="009667DE">
        <w:rPr>
          <w:b/>
        </w:rPr>
        <w:t>Kriterij</w:t>
      </w:r>
      <w:r w:rsidR="00035BDD" w:rsidRPr="009667DE">
        <w:rPr>
          <w:b/>
        </w:rPr>
        <w:t xml:space="preserve"> odabira</w:t>
      </w:r>
      <w:r w:rsidRPr="009667DE">
        <w:rPr>
          <w:b/>
        </w:rPr>
        <w:t xml:space="preserve"> 3</w:t>
      </w:r>
    </w:p>
    <w:p w:rsidR="00131487" w:rsidRPr="009667DE" w:rsidRDefault="00A31C80" w:rsidP="00131487">
      <w:r w:rsidRPr="009667DE">
        <w:t>Korisnik</w:t>
      </w:r>
      <w:r w:rsidR="00131487" w:rsidRPr="009667DE">
        <w:t xml:space="preserve"> može ostvariti bodove po navedenom kriteriju ako u trenutku podnošenja Zahtjeva za potporu ima završen: </w:t>
      </w:r>
    </w:p>
    <w:p w:rsidR="00131487" w:rsidRPr="009667DE" w:rsidRDefault="00131487" w:rsidP="00131487">
      <w:r w:rsidRPr="009667DE">
        <w:t xml:space="preserve">preddiplomski ili preddiplomski i diplomski sveučilišni ili stručni studij integrirani preddiplomski i diplomski sveučilišni ili stručni studij agronomskog ili veterinarskog smjera  </w:t>
      </w:r>
      <w:r w:rsidR="00A31C80" w:rsidRPr="009667DE">
        <w:t>ili ima 8 godina radnog iskustva na poljoprivrednom gospodarstvu</w:t>
      </w:r>
    </w:p>
    <w:p w:rsidR="00131487" w:rsidRPr="009667DE" w:rsidRDefault="00131487" w:rsidP="00131487">
      <w:r w:rsidRPr="009667DE">
        <w:t xml:space="preserve">ili </w:t>
      </w:r>
    </w:p>
    <w:p w:rsidR="00131487" w:rsidRPr="009667DE" w:rsidRDefault="00131487" w:rsidP="00131487">
      <w:r w:rsidRPr="009667DE">
        <w:t xml:space="preserve">završenu srednju školu iz područja poljoprivrede ili veterine </w:t>
      </w:r>
      <w:r w:rsidR="00A31C80" w:rsidRPr="009667DE">
        <w:t>ili minimalno 4 godine radnog iskustva na poljoprivrednom gospodarstvu</w:t>
      </w:r>
      <w:r w:rsidR="002E7C71" w:rsidRPr="009667DE">
        <w:t xml:space="preserve">. </w:t>
      </w:r>
    </w:p>
    <w:p w:rsidR="002E7C71" w:rsidRPr="009667DE" w:rsidRDefault="002E7C71" w:rsidP="00131487">
      <w:r w:rsidRPr="009667DE">
        <w:t xml:space="preserve">Dokaz za ostvarivanje bodova je prilaganje potrebne dokumentacije koja se nalazi u Prilogu </w:t>
      </w:r>
      <w:r w:rsidR="009262C4" w:rsidRPr="009667DE">
        <w:t xml:space="preserve">Dokumentacija za podnošenje prvog dijela zahtjeva za potporu. </w:t>
      </w:r>
    </w:p>
    <w:p w:rsidR="002E20E8" w:rsidRPr="009667DE" w:rsidRDefault="002E20E8" w:rsidP="002E20E8">
      <w:pPr>
        <w:rPr>
          <w:b/>
        </w:rPr>
      </w:pPr>
      <w:r w:rsidRPr="009667DE">
        <w:rPr>
          <w:b/>
        </w:rPr>
        <w:t>Kriterij</w:t>
      </w:r>
      <w:r w:rsidR="00035BDD" w:rsidRPr="009667DE">
        <w:rPr>
          <w:b/>
        </w:rPr>
        <w:t xml:space="preserve"> odabira</w:t>
      </w:r>
      <w:r w:rsidRPr="009667DE">
        <w:rPr>
          <w:b/>
        </w:rPr>
        <w:t xml:space="preserve"> 4</w:t>
      </w:r>
    </w:p>
    <w:p w:rsidR="002E20E8" w:rsidRPr="009667DE" w:rsidRDefault="002E20E8" w:rsidP="002E20E8">
      <w:r w:rsidRPr="009667DE">
        <w:t xml:space="preserve">Ako korisnik ulaže u mješoviti nasad s prioritetnim i neprioritetnim vrstama, može ostvariti bodove kako slijedi: </w:t>
      </w:r>
    </w:p>
    <w:p w:rsidR="002E20E8" w:rsidRPr="009667DE" w:rsidRDefault="002E20E8" w:rsidP="002E20E8">
      <w:r w:rsidRPr="009667DE">
        <w:t xml:space="preserve">a) Ako je riječ o ulaganju u restrukturiranje nasada, ulaganje u prioritetni sektor mora prelaziti minimalni broj ha te najmanje 50% prihvatljivih troškova projekta (troškove ulaganja u prioritetne i neprioritetne vrste potrebno je odvojeno prikazati u Planu nabave/tablici troškova i izračuna)  </w:t>
      </w:r>
    </w:p>
    <w:p w:rsidR="002E20E8" w:rsidRPr="009667DE" w:rsidRDefault="002E20E8" w:rsidP="002E20E8">
      <w:r w:rsidRPr="009667DE">
        <w:t>b) Ako je riječ o podizanju novih nasada, ulaganje u prioritetni sektor mora prelaziti minimalni broj ha te najmanje 70% prihvatljivih troškova projekta (troškove ulaganja u prioritetne i neprioritetne vrste potrebno je odvojeno prikazati u Planu nabave/tablici troškova i izračuna)</w:t>
      </w:r>
    </w:p>
    <w:p w:rsidR="002E20E8" w:rsidRPr="009667DE" w:rsidRDefault="002E20E8" w:rsidP="002E20E8">
      <w:r w:rsidRPr="009667DE">
        <w:t xml:space="preserve">Ako korisnik ulaže u proizvodnju povrća na otvorenom, može ostvariti bodove po sektorskom kriteriju sukladno broju ha povrćarske proizvodnje koju će imati na kraju ulaganja (gleda se iz Poslovnog plana, tablica „Podaci o zemljištu, objektima i broju životinja“). Ulaganje se može odnositi i samo na kupnju mehanizacije ako je ispunjen uvjet o povrćarskoj proizvodnji na propisanoj površini na kraju ulaganja. Napominjemo da je kupovina traktora u tom slučaju moguća do maksimalne prihvatljive snage (kW) sukladno površini (ha) za vrstu proizvodnje „Povrćarstvo“ kako je navedeno u Prilogu 13 „Specifični kriteriji za ulaganje u poljoprivrednu mehanizaciju“. Bodove nije moguće ostvariti ako se većina troškova odnosi na građenje i/ili opremanje ostalih gospodarskih objekata, </w:t>
      </w:r>
      <w:r w:rsidRPr="009667DE">
        <w:lastRenderedPageBreak/>
        <w:t>upravnih prostorija s pripadajućim sadržajima, opremom i infrastrukturom, koji su u funkciji osnovne djelatnosti sukladno Listi prihvatljivih troškova.</w:t>
      </w:r>
    </w:p>
    <w:p w:rsidR="002E20E8" w:rsidRPr="009667DE" w:rsidRDefault="002E20E8" w:rsidP="002E20E8">
      <w:r w:rsidRPr="009667DE">
        <w:t xml:space="preserve">VOĆNE VRSTE DIJELE SE NA: </w:t>
      </w:r>
    </w:p>
    <w:p w:rsidR="002E20E8" w:rsidRPr="009667DE" w:rsidRDefault="002E20E8" w:rsidP="002E20E8">
      <w:r w:rsidRPr="009667DE">
        <w:t xml:space="preserve">1. Jezgričave – jabuka, kruška, kinesko-japanska kruška, dunja, mušmula, oskoruša,  </w:t>
      </w:r>
    </w:p>
    <w:p w:rsidR="002E20E8" w:rsidRPr="009667DE" w:rsidRDefault="002E20E8" w:rsidP="002E20E8">
      <w:r w:rsidRPr="009667DE">
        <w:t xml:space="preserve">2. Koštičave – breskva, marelica, šljiva, kinesko-japanska šljiva, trešnja, višnja, badem, marela </w:t>
      </w:r>
    </w:p>
    <w:p w:rsidR="002E20E8" w:rsidRPr="009667DE" w:rsidRDefault="002E20E8" w:rsidP="002E20E8">
      <w:r w:rsidRPr="009667DE">
        <w:t xml:space="preserve">3. Lupinaste – orah, lijeska, kesten, tršlja (pistacija) </w:t>
      </w:r>
    </w:p>
    <w:p w:rsidR="002E20E8" w:rsidRPr="009667DE" w:rsidRDefault="002E20E8" w:rsidP="002E20E8">
      <w:r w:rsidRPr="009667DE">
        <w:t xml:space="preserve">4. Jagodaste – jagoda, malina, kupina, križanci maline i kupine, crni ribiz, crveni ribiz, bijeli ribiz, ogrozd, josta, kivika, borovnica, bijeli dud, crni dud, crveni dud, aronija, europska brusnica, američka brusnica, haskap (modra kozokrvina, sibirska borovnica), goji bobice, bazga </w:t>
      </w:r>
    </w:p>
    <w:p w:rsidR="002E20E8" w:rsidRPr="009667DE" w:rsidRDefault="002E20E8" w:rsidP="002E20E8">
      <w:r w:rsidRPr="009667DE">
        <w:t>5. Južne ili mediteranske – maslina, smokva, naranča, limun, mandarina, četrun, grejpfrut, rogač, kaki, šipak (mogranj), žižula, nešpola, klementina</w:t>
      </w:r>
    </w:p>
    <w:p w:rsidR="00A31C80" w:rsidRPr="009667DE" w:rsidRDefault="00A31C80" w:rsidP="002E20E8">
      <w:pPr>
        <w:rPr>
          <w:b/>
        </w:rPr>
      </w:pPr>
      <w:r w:rsidRPr="009667DE">
        <w:rPr>
          <w:b/>
        </w:rPr>
        <w:t>Kriterij</w:t>
      </w:r>
      <w:r w:rsidR="00035BDD" w:rsidRPr="009667DE">
        <w:rPr>
          <w:b/>
        </w:rPr>
        <w:t xml:space="preserve"> odabira</w:t>
      </w:r>
      <w:r w:rsidRPr="009667DE">
        <w:rPr>
          <w:b/>
        </w:rPr>
        <w:t xml:space="preserve"> 5</w:t>
      </w:r>
    </w:p>
    <w:p w:rsidR="00A31C80" w:rsidRPr="009667DE" w:rsidRDefault="00D064DD" w:rsidP="002E20E8">
      <w:pPr>
        <w:rPr>
          <w:rFonts w:eastAsia="Times New Roman" w:cstheme="minorHAnsi"/>
          <w:szCs w:val="21"/>
        </w:rPr>
      </w:pPr>
      <w:r w:rsidRPr="009667DE">
        <w:t xml:space="preserve">Ako ukupno ulaganje korisnika unutar </w:t>
      </w:r>
      <w:r w:rsidR="00A257C6" w:rsidRPr="009667DE">
        <w:t xml:space="preserve">prihvatljivih troškova iznosi više od 50%, a odnosi se na </w:t>
      </w:r>
      <w:r w:rsidR="00A257C6" w:rsidRPr="009667DE">
        <w:rPr>
          <w:rFonts w:eastAsia="Times New Roman" w:cstheme="minorHAnsi"/>
          <w:szCs w:val="21"/>
        </w:rPr>
        <w:t>izgradnju, rekonstrukciju i/ili modernizaciju (sa ili bez opremanja) moguće je ostvariti 15 bodova.</w:t>
      </w:r>
    </w:p>
    <w:p w:rsidR="00A257C6" w:rsidRPr="009667DE" w:rsidRDefault="00A257C6" w:rsidP="002E20E8">
      <w:pPr>
        <w:rPr>
          <w:rFonts w:eastAsia="Times New Roman" w:cstheme="minorHAnsi"/>
          <w:szCs w:val="21"/>
        </w:rPr>
      </w:pPr>
      <w:r w:rsidRPr="009667DE">
        <w:rPr>
          <w:rFonts w:eastAsia="Times New Roman" w:cstheme="minorHAnsi"/>
          <w:szCs w:val="21"/>
        </w:rPr>
        <w:t>Ukoliko se više od 50% ukupnog ulaganja unutar prihvatljivih troškova odnosi na opremanje moguće je ostvariti 10 bodova.</w:t>
      </w:r>
    </w:p>
    <w:p w:rsidR="00DF3AB1" w:rsidRPr="009667DE" w:rsidRDefault="00DF3AB1" w:rsidP="002E20E8">
      <w:pPr>
        <w:rPr>
          <w:rFonts w:cstheme="minorHAnsi"/>
        </w:rPr>
      </w:pPr>
      <w:r w:rsidRPr="009667DE">
        <w:rPr>
          <w:rFonts w:eastAsia="Times New Roman" w:cstheme="minorHAnsi"/>
          <w:szCs w:val="21"/>
        </w:rPr>
        <w:t>Ulaganje za nabavku poljoprivredne mehanizacije treba iznositi više od 50% ukupno prihvatljivih troškova  da bi se ostvarilo 5 bodova.</w:t>
      </w:r>
    </w:p>
    <w:p w:rsidR="002E20E8" w:rsidRPr="009667DE" w:rsidRDefault="000A0E17" w:rsidP="002E20E8">
      <w:pPr>
        <w:rPr>
          <w:b/>
        </w:rPr>
      </w:pPr>
      <w:r w:rsidRPr="009667DE">
        <w:rPr>
          <w:b/>
        </w:rPr>
        <w:t>Kriterij</w:t>
      </w:r>
      <w:r w:rsidR="00035BDD" w:rsidRPr="009667DE">
        <w:rPr>
          <w:b/>
        </w:rPr>
        <w:t xml:space="preserve"> odabira</w:t>
      </w:r>
      <w:r w:rsidRPr="009667DE">
        <w:rPr>
          <w:b/>
        </w:rPr>
        <w:t xml:space="preserve"> 6</w:t>
      </w:r>
    </w:p>
    <w:p w:rsidR="000A0E17" w:rsidRPr="009667DE" w:rsidRDefault="000A0E17" w:rsidP="000A0E17">
      <w:r w:rsidRPr="009667DE">
        <w:t xml:space="preserve">Uvođenje novog/unaprijeđenog tehnološkog procesa predstavljaju aktivnosti kojima se postojeći tehnološki proces automatizira, informatizira (čime se isključuje kupnja osobnih računala i printera za redovito poslovanje te računalnih programa namijenjenih svakodnevnom uredskom poslovanju) ili unaprjeđuje na način da utječe na povećanu produktivnost, smanjenje utroška energije, očuvanje okoliša, dobrobit životinja, ukupan prinos ili prirast i sl. </w:t>
      </w:r>
    </w:p>
    <w:p w:rsidR="000A0E17" w:rsidRPr="009667DE" w:rsidRDefault="000A0E17" w:rsidP="000A0E17">
      <w:r w:rsidRPr="009667DE">
        <w:t>Kupnja mehanizacije i/ili gospodarskih vozila ni u kom slučaju ne može se smatrati unaprjeđenjem tehnološkog procesa</w:t>
      </w:r>
    </w:p>
    <w:p w:rsidR="001444D1" w:rsidRPr="009667DE" w:rsidRDefault="001444D1" w:rsidP="000A0E17">
      <w:pPr>
        <w:rPr>
          <w:b/>
        </w:rPr>
      </w:pPr>
      <w:r w:rsidRPr="009667DE">
        <w:rPr>
          <w:b/>
        </w:rPr>
        <w:t>Kriterij odabira 7</w:t>
      </w:r>
    </w:p>
    <w:p w:rsidR="001444D1" w:rsidRPr="009667DE" w:rsidRDefault="001444D1" w:rsidP="000A0E17">
      <w:r w:rsidRPr="009667DE">
        <w:t xml:space="preserve">Bodovi unutar ovog kriterija se ostvaruju ovisno o prihvatljivim troškovima iz Priloga  </w:t>
      </w:r>
      <w:r w:rsidR="00DF3AB1" w:rsidRPr="009667DE">
        <w:t>Lista prihvatljivih troškova.</w:t>
      </w:r>
    </w:p>
    <w:p w:rsidR="00807D06" w:rsidRPr="009667DE" w:rsidRDefault="00807D06" w:rsidP="000A0E17">
      <w:pPr>
        <w:rPr>
          <w:b/>
        </w:rPr>
      </w:pPr>
      <w:r w:rsidRPr="009667DE">
        <w:rPr>
          <w:b/>
        </w:rPr>
        <w:t>Kriterij odabira 8</w:t>
      </w:r>
    </w:p>
    <w:p w:rsidR="00DF3AB1" w:rsidRPr="009667DE" w:rsidRDefault="002E7C71" w:rsidP="000A0E17">
      <w:r w:rsidRPr="009667DE">
        <w:t xml:space="preserve">Bodovi unutar ovog kriterija se ostvaruju ovisno o prihvatljivim troškovima iz Priloga  Lista prihvatljivih troškova i njihovom odnosu na fokus područja. </w:t>
      </w:r>
    </w:p>
    <w:p w:rsidR="000A0E17" w:rsidRPr="009667DE" w:rsidRDefault="000A0E17" w:rsidP="000A0E17">
      <w:pPr>
        <w:rPr>
          <w:b/>
        </w:rPr>
      </w:pPr>
      <w:r w:rsidRPr="009667DE">
        <w:rPr>
          <w:b/>
        </w:rPr>
        <w:t xml:space="preserve">Kriterij </w:t>
      </w:r>
      <w:r w:rsidR="00035BDD" w:rsidRPr="009667DE">
        <w:rPr>
          <w:b/>
        </w:rPr>
        <w:t xml:space="preserve">odabira </w:t>
      </w:r>
      <w:r w:rsidRPr="009667DE">
        <w:rPr>
          <w:b/>
        </w:rPr>
        <w:t>9</w:t>
      </w:r>
    </w:p>
    <w:p w:rsidR="000A0E17" w:rsidRPr="009667DE" w:rsidRDefault="000A0E17" w:rsidP="000A0E17">
      <w:r w:rsidRPr="009667DE">
        <w:t xml:space="preserve">Pripadnost ulaganja ZPO/GPP/PPO određuje prema području na kojem se ostvaruje minimalno 50% prihvatljivih troškova u projektu. Poljoprivredna mehanizacija i gospodarska vozila pribrajaju se u troškove projekta u onom postotnom udjelu u kojem se lokacije poljoprivrednih površina uključenih u izračun SO-a nalaze u ZPO/GPP/PPO (a čemu se pribrajaju i površine na kojima se provodi ulaganje </w:t>
      </w:r>
      <w:r w:rsidRPr="009667DE">
        <w:lastRenderedPageBreak/>
        <w:t xml:space="preserve">ako te površine već nisu uključene u izračun SO-a prilikom prijave na natječaj). Ako se ulaganje odvija u više različitih područja, a zbroj troškova ulaganja u tim područjima iznosi više od 50% prihvatljivih troškova u projektu, korisnik ostvaruje bodove za područje s manjim brojem bodova. </w:t>
      </w:r>
    </w:p>
    <w:p w:rsidR="000A0E17" w:rsidRPr="009667DE" w:rsidRDefault="000A0E17" w:rsidP="000A0E17">
      <w:pPr>
        <w:rPr>
          <w:b/>
        </w:rPr>
      </w:pPr>
      <w:r w:rsidRPr="009667DE">
        <w:rPr>
          <w:b/>
        </w:rPr>
        <w:t>Kriterij</w:t>
      </w:r>
      <w:r w:rsidR="00035BDD" w:rsidRPr="009667DE">
        <w:rPr>
          <w:b/>
        </w:rPr>
        <w:t xml:space="preserve"> odabira</w:t>
      </w:r>
      <w:r w:rsidRPr="009667DE">
        <w:rPr>
          <w:b/>
        </w:rPr>
        <w:t xml:space="preserve"> 10</w:t>
      </w:r>
    </w:p>
    <w:p w:rsidR="000A0E17" w:rsidRPr="009667DE" w:rsidRDefault="000A0E17" w:rsidP="000A0E17">
      <w:r w:rsidRPr="009667DE">
        <w:t>Da bi Projekt ostvario 5 bodova za usklađenost s ciljeva LRS potrebno je jasno I nedvosmisleno obrazložiti navedeni utjecaj (</w:t>
      </w:r>
      <w:r w:rsidRPr="009667DE">
        <w:rPr>
          <w:i/>
        </w:rPr>
        <w:t xml:space="preserve">Izvor provjere: Obrazac </w:t>
      </w:r>
      <w:r w:rsidR="006418DA" w:rsidRPr="009667DE">
        <w:rPr>
          <w:i/>
        </w:rPr>
        <w:t>a</w:t>
      </w:r>
      <w:r w:rsidRPr="009667DE">
        <w:rPr>
          <w:i/>
        </w:rPr>
        <w:t xml:space="preserve"> P</w:t>
      </w:r>
      <w:r w:rsidR="006418DA" w:rsidRPr="009667DE">
        <w:rPr>
          <w:i/>
        </w:rPr>
        <w:t>rijavni obrazac</w:t>
      </w:r>
      <w:r w:rsidRPr="009667DE">
        <w:rPr>
          <w:i/>
        </w:rPr>
        <w:t xml:space="preserve"> Poglavlje </w:t>
      </w:r>
      <w:r w:rsidR="006418DA" w:rsidRPr="009667DE">
        <w:rPr>
          <w:i/>
        </w:rPr>
        <w:t>I</w:t>
      </w:r>
      <w:r w:rsidRPr="009667DE">
        <w:rPr>
          <w:i/>
        </w:rPr>
        <w:t>I.</w:t>
      </w:r>
      <w:r w:rsidR="006418DA" w:rsidRPr="009667DE">
        <w:rPr>
          <w:i/>
        </w:rPr>
        <w:t>4</w:t>
      </w:r>
      <w:r w:rsidRPr="009667DE">
        <w:rPr>
          <w:i/>
        </w:rPr>
        <w:t>.</w:t>
      </w:r>
      <w:r w:rsidR="006418DA" w:rsidRPr="009667DE">
        <w:rPr>
          <w:i/>
        </w:rPr>
        <w:t xml:space="preserve"> Kratki opis projekta, Pitanje broj II.4.</w:t>
      </w:r>
      <w:r w:rsidR="00AE1422" w:rsidRPr="009667DE">
        <w:rPr>
          <w:i/>
        </w:rPr>
        <w:t>4</w:t>
      </w:r>
      <w:r w:rsidR="006418DA" w:rsidRPr="009667DE">
        <w:rPr>
          <w:i/>
        </w:rPr>
        <w:t>.</w:t>
      </w:r>
      <w:r w:rsidRPr="009667DE">
        <w:t xml:space="preserve">) </w:t>
      </w:r>
      <w:r w:rsidR="00AE1422" w:rsidRPr="009667DE">
        <w:br/>
      </w:r>
      <w:r w:rsidR="00AE1422" w:rsidRPr="009667DE">
        <w:br/>
      </w:r>
      <w:r w:rsidRPr="009667DE">
        <w:t>Da bi Projekt ostvario 5 bodova za usklađenost s ciljevima relevantnih Strateških dokumenata na sektorskoj, lokalnoj, reginalnoj, nacionalnoj I EU razini potrebno je jasno i nedvosmisleno obrazložiti navedeni utjecaj na doprinos ostvarivanja cilja minimalno jednog relevantnog Strateškog dokumenta na sektorskoj, lokalnoj, reginalnoj, nacionalnoj I EU razini (</w:t>
      </w:r>
      <w:r w:rsidR="006418DA" w:rsidRPr="009667DE">
        <w:rPr>
          <w:i/>
        </w:rPr>
        <w:t>Izvor provjere: Obrazac a Prijavni obrazac Poglavlje II.4. Kratki opis projekta, Pitanje broj II.4.12.</w:t>
      </w:r>
      <w:r w:rsidRPr="009667DE">
        <w:rPr>
          <w:i/>
        </w:rPr>
        <w:t>)</w:t>
      </w:r>
    </w:p>
    <w:p w:rsidR="000A0E17" w:rsidRPr="009667DE" w:rsidRDefault="000A0E17" w:rsidP="000A0E17">
      <w:pPr>
        <w:rPr>
          <w:b/>
        </w:rPr>
      </w:pPr>
      <w:r w:rsidRPr="009667DE">
        <w:rPr>
          <w:b/>
        </w:rPr>
        <w:t>Kriterij</w:t>
      </w:r>
      <w:r w:rsidR="00035BDD" w:rsidRPr="009667DE">
        <w:rPr>
          <w:b/>
        </w:rPr>
        <w:t xml:space="preserve"> odabira</w:t>
      </w:r>
      <w:r w:rsidRPr="009667DE">
        <w:rPr>
          <w:b/>
        </w:rPr>
        <w:t xml:space="preserve"> 11</w:t>
      </w:r>
    </w:p>
    <w:p w:rsidR="000A0E17" w:rsidRPr="009667DE" w:rsidRDefault="000A0E17" w:rsidP="000A0E17">
      <w:pPr>
        <w:rPr>
          <w:i/>
        </w:rPr>
      </w:pPr>
      <w:r w:rsidRPr="009667DE">
        <w:t>Potrebno je jasno i nedvosmisleno obrazložiti da li i ako da na koji način projekt doprinosi horizontalnim ciljevima iz odabrane LRS. Da bi Projekt ostvario 5 bodova za doprinos horizontalnim ciljevima LRS (zaštita okoliša, klimatske promjene, inovacije) potrebno je jasno i nedvosmisleno obrazložiti navedeni utjecaj</w:t>
      </w:r>
      <w:r w:rsidR="006418DA" w:rsidRPr="009667DE">
        <w:t xml:space="preserve"> u </w:t>
      </w:r>
      <w:r w:rsidR="006418DA" w:rsidRPr="009667DE">
        <w:rPr>
          <w:i/>
        </w:rPr>
        <w:t>Obrascu A-Prijavni obrazac, Poglavlje II.4. Kratki opis projekta, Pitanje broj II.4.13.</w:t>
      </w:r>
    </w:p>
    <w:p w:rsidR="000A0E17" w:rsidRPr="009667DE" w:rsidRDefault="000A0E17" w:rsidP="000A0E17">
      <w:pPr>
        <w:rPr>
          <w:b/>
        </w:rPr>
      </w:pPr>
      <w:r w:rsidRPr="009667DE">
        <w:rPr>
          <w:b/>
        </w:rPr>
        <w:t xml:space="preserve">Kriterij </w:t>
      </w:r>
      <w:r w:rsidR="00035BDD" w:rsidRPr="009667DE">
        <w:rPr>
          <w:b/>
        </w:rPr>
        <w:t xml:space="preserve">odabira </w:t>
      </w:r>
      <w:r w:rsidRPr="009667DE">
        <w:rPr>
          <w:b/>
        </w:rPr>
        <w:t>12</w:t>
      </w:r>
    </w:p>
    <w:p w:rsidR="009667DE" w:rsidRPr="009667DE" w:rsidRDefault="009667DE" w:rsidP="009667DE">
      <w:r w:rsidRPr="009667DE">
        <w:t xml:space="preserve">U poslovnom planu potrebno je jasno i nedvosmisleno objasniti da li projekt doprinosi ostvarivanju novog zaposlenja odnosno stvaranju dodatnog radnog mjesta. Ukoliko doprinosi potrebno je jasno i nedvosmisleno iskazati broj radnih mjesta koja se ostvaruju provedbom projekta. </w:t>
      </w:r>
      <w:r w:rsidRPr="009667DE">
        <w:t xml:space="preserve"> (Obrazac A, pitanje II.4.11</w:t>
      </w:r>
      <w:r w:rsidRPr="009667DE">
        <w:t>.)</w:t>
      </w:r>
      <w:r w:rsidRPr="009667DE">
        <w:br/>
        <w:t>Ukoliko se zapošljavava/ju pripadnik/ci neke od ranjivih skupina potrebno je to jasno i nedvosmisleno naglasiti. Za početno stanje broj zaposlenih u obzir se uzima broj zaposlenih osoba u prethodno odobrenom računovodstvenom razdoblju (n – 1 = godina prije podnošenja projektnog prijedloga). Ukoliko nije bilo zaposlenih osoba u godini prije podnošenja projektnog prijedloga navedeno je potrebno istaknuti. Za doprinos ostvarivanju kriterija u obzir se uzima zapošljavanje / stvaranje radnog mjesta u razdoblju 5 godina nakon provedbe Projekta odnosno broj zaposlenih u 5. godini nakon završne isplate projekta (m + 5). (Izvor provjere: DOH obrazac za m+5 razdoblje, GFI Izvješta za m+5 razdoblje, JOPPD obrasci za m+ 5 razdoblje) Da bi projekt ostvario 5 bodova za otvaranje više od jednog radnog mjesta navedeno je potrebno istaknuti unutar prijavnog obrasca.</w:t>
      </w:r>
    </w:p>
    <w:p w:rsidR="009667DE" w:rsidRPr="009667DE" w:rsidRDefault="009667DE" w:rsidP="009667DE">
      <w:r w:rsidRPr="009667DE">
        <w:t xml:space="preserve">Broj zaposlenih (FTE) se izračunava prema sljedećoj formuli: Broj zaposlenih (FTE) = broj osoba × udio godišnjeg rada na razini jednog zaposlenika </w:t>
      </w:r>
      <w:r w:rsidRPr="009667DE">
        <w:br/>
        <w:t xml:space="preserve">Udio godišnjeg rada izračunava se prema sljedećoj formuli: Udio godišnjeg rada = ostvaren broj radnih sati godišnje / ukupan godišnji fond sati Ukupan godišnji fond sati iznosi 2080. </w:t>
      </w:r>
      <w:r w:rsidRPr="009667DE">
        <w:br/>
        <w:t xml:space="preserve">Ako je ostvaren broj radnih sati manji, isti se računaju na način da se ostvaren broj radnih sati podijeli sa ukupnim godišnjim fondom sati (2080). </w:t>
      </w:r>
      <w:r w:rsidRPr="009667DE">
        <w:br/>
        <w:t xml:space="preserve">Primjer izračuna udjela godišnjeg rada: 1 osoba radi 1000 sati godišnje 1000 sati / 2080 sati = 0,48 Primjer izračuna broja zaposlenih (FTE), br. 1: 2 osobe rade puno radno vrijeme cijelu godinu (2080 sati) (2 × 1 ) = 2 3 osobe rade svaka po 1.000 sati godišnje (3 × 0,48) = 1,44 </w:t>
      </w:r>
      <w:r w:rsidRPr="009667DE">
        <w:br/>
        <w:t xml:space="preserve">Broj zaposlenih iskazan kao ekvivalent pune zaposlenosti = 3.44 </w:t>
      </w:r>
      <w:r w:rsidRPr="009667DE">
        <w:br/>
        <w:t xml:space="preserve">Broj zaposlenih zaokružen na cijeli broj = 3 Primjer izračuna broja zaposlenih (FTE), </w:t>
      </w:r>
      <w:r w:rsidRPr="009667DE">
        <w:br/>
      </w:r>
      <w:r w:rsidRPr="009667DE">
        <w:lastRenderedPageBreak/>
        <w:t xml:space="preserve">br. 2: 2 osobe rade puno radno vrijeme cijelu godinu (2080 sati) (2 × 1 ) = 2 1 osoba radi 500 sati godišnje (1 × 0,24) = 0,24 1 osoba radi 1000 sati godišnje (1 × 0,48) = 0,48 1 osoba radi 1700 sati godišnje (1 × 0,82) = 0,82 </w:t>
      </w:r>
      <w:r w:rsidRPr="009667DE">
        <w:br/>
        <w:t xml:space="preserve">Broj zaposlenih iskazan kao ekvivalent pune zaposlenosti = 3,54 </w:t>
      </w:r>
      <w:r w:rsidRPr="009667DE">
        <w:br/>
        <w:t xml:space="preserve">Broj zaposlenih zaokružen na cijeli broj = 4 </w:t>
      </w:r>
      <w:r w:rsidRPr="009667DE">
        <w:br/>
      </w:r>
      <w:r w:rsidRPr="009667DE">
        <w:br/>
        <w:t xml:space="preserve">Bodove po kriteriju zapošljavanja pripadnika ranjivih skupina dobivaju svi projekti koji će na dodatno stvorenom radnom mjestu zaposliti pripadnika/ke sljedećih ranjivih ategorija stanovnika: </w:t>
      </w:r>
      <w:r w:rsidRPr="009667DE">
        <w:br/>
        <w:t xml:space="preserve">- osobe s invaliditetom, </w:t>
      </w:r>
      <w:r w:rsidRPr="009667DE">
        <w:br/>
        <w:t>- osobe starije životne dobi,</w:t>
      </w:r>
      <w:r w:rsidRPr="009667DE">
        <w:br/>
        <w:t xml:space="preserve">- starije osobe bez mirovina, </w:t>
      </w:r>
      <w:r w:rsidRPr="009667DE">
        <w:br/>
        <w:t xml:space="preserve">- samohrani roditelji, </w:t>
      </w:r>
      <w:r w:rsidRPr="009667DE">
        <w:br/>
        <w:t xml:space="preserve">- branitelji i njihove obitelji, </w:t>
      </w:r>
      <w:r w:rsidRPr="009667DE">
        <w:br/>
        <w:t xml:space="preserve">- ranjive etničke manjine (Romi), </w:t>
      </w:r>
      <w:r w:rsidRPr="009667DE">
        <w:br/>
        <w:t>- djeca i mladež bez odgovarajuće roditeljske skrbi,</w:t>
      </w:r>
      <w:r w:rsidRPr="009667DE">
        <w:br/>
        <w:t xml:space="preserve">- migranti Za doprinos ostvarivanju kriterija u obzir se uzima zapošljavanje pripadnika osjetljivih kategorija stanovnika / stvaranje radnog mjesta za pripadnike osjetljivih kategorija stanovnika u razdoblju 5 godina nakon provedbe Projekta odnosno broj zaposlenih u 5. godini nakon završne isplate projekta (m + 5). (Izvor provjere: Obrazac </w:t>
      </w:r>
      <w:r w:rsidRPr="009667DE">
        <w:t>A, pitanje II.4.11</w:t>
      </w:r>
      <w:r w:rsidRPr="009667DE">
        <w:t>.1.,DOH obrazac za m+5 razdoblje, GFI Izvješta za m+5 razdoblje, JOPPD obrasci za m+ 5 razdoblje.</w:t>
      </w:r>
    </w:p>
    <w:p w:rsidR="000A0E17" w:rsidRPr="009667DE" w:rsidRDefault="000A0E17" w:rsidP="000A0E17">
      <w:pPr>
        <w:rPr>
          <w:b/>
        </w:rPr>
      </w:pPr>
      <w:r w:rsidRPr="009667DE">
        <w:rPr>
          <w:b/>
        </w:rPr>
        <w:t>Kriterij</w:t>
      </w:r>
      <w:r w:rsidR="00035BDD" w:rsidRPr="009667DE">
        <w:rPr>
          <w:b/>
        </w:rPr>
        <w:t xml:space="preserve"> odabira</w:t>
      </w:r>
      <w:r w:rsidRPr="009667DE">
        <w:rPr>
          <w:b/>
        </w:rPr>
        <w:t xml:space="preserve"> 13</w:t>
      </w:r>
    </w:p>
    <w:p w:rsidR="000A0E17" w:rsidRPr="009667DE" w:rsidRDefault="000A0E17" w:rsidP="000A0E17">
      <w:r w:rsidRPr="009667DE">
        <w:t>Da bi projekt ostvario 5 bodova po ovom kriteriju utjecaj projekta treba biti vidljiv kroz porast prihoda/primitaka do 10% u odnosu na godinu prije podnošenja projektnog prijedloga (n-1). Da bi projekt ostvario 10 bodova po ovom kriteriju utjecaj projekta treba biti vidljiv kroz porast prihoda/primitaka za više od 10% u odnosu na godinu prije podnošenja projektnog prijedloga (n-1) Za početno stanje vrijednost prihoda/primitaka u obzir se uzima prethodno odobrenom računovodstvenom razdoblju (n – 1 = godina prije podnošenja projektnog prijedloga). Izvor provjere (</w:t>
      </w:r>
      <w:r w:rsidRPr="009667DE">
        <w:rPr>
          <w:i/>
        </w:rPr>
        <w:t>Obrazac</w:t>
      </w:r>
      <w:r w:rsidR="00E37389" w:rsidRPr="009667DE">
        <w:rPr>
          <w:i/>
        </w:rPr>
        <w:t xml:space="preserve"> A</w:t>
      </w:r>
      <w:r w:rsidRPr="009667DE">
        <w:rPr>
          <w:i/>
        </w:rPr>
        <w:t>._P</w:t>
      </w:r>
      <w:r w:rsidR="00E37389" w:rsidRPr="009667DE">
        <w:rPr>
          <w:i/>
        </w:rPr>
        <w:t>rijavni obrazac, Poglavlje II.5. Poljoprivredni proizvodi</w:t>
      </w:r>
      <w:r w:rsidR="003D0586" w:rsidRPr="009667DE">
        <w:rPr>
          <w:i/>
        </w:rPr>
        <w:t>, Pitanje II.5.3.)</w:t>
      </w:r>
      <w:r w:rsidRPr="009667DE">
        <w:t xml:space="preserve"> koji mora bitu usklađen s : DOH obrascem n - 1 razdoblje, GFI Izvješta za n - 1 razdoblje, Evidencija o vlastitim prodanim proizvodima za n - 1 razdoblje)</w:t>
      </w:r>
      <w:r w:rsidR="00AE1422" w:rsidRPr="009667DE">
        <w:t>.</w:t>
      </w:r>
      <w:r w:rsidRPr="009667DE">
        <w:t xml:space="preserve"> </w:t>
      </w:r>
      <w:r w:rsidR="00AE1422" w:rsidRPr="009667DE">
        <w:br/>
      </w:r>
      <w:r w:rsidRPr="009667DE">
        <w:t xml:space="preserve">Za doprinos ostvarivanju kriterija u obzir se uzima vrijednost prihoda/primitaka u razdoblju 5 godina nakon provedbe Projekta odnosno vrijednost prihoda/primitaka u 5. godini nakon završne isplate projekta (m + 5). (Izvor provjere: </w:t>
      </w:r>
      <w:r w:rsidR="006418DA" w:rsidRPr="009667DE">
        <w:rPr>
          <w:i/>
        </w:rPr>
        <w:t>Obrazac A._Prijavni obrazac, Poglavlje II.5. Poljoprivredni proizvodi</w:t>
      </w:r>
      <w:r w:rsidRPr="009667DE">
        <w:rPr>
          <w:i/>
        </w:rPr>
        <w:t>,</w:t>
      </w:r>
      <w:r w:rsidR="003D0586" w:rsidRPr="009667DE">
        <w:rPr>
          <w:i/>
        </w:rPr>
        <w:t xml:space="preserve"> Pitanje II.5.3.)</w:t>
      </w:r>
      <w:r w:rsidRPr="009667DE">
        <w:t xml:space="preserve"> DOH obrazac za m+5 razdoblje, GFI Izvješta za m+5 razdoblje, Evidencija o vlastitim prodanim proizvodima za razdoblje m +</w:t>
      </w:r>
      <w:bookmarkStart w:id="0" w:name="_GoBack"/>
      <w:bookmarkEnd w:id="0"/>
      <w:r w:rsidRPr="009667DE">
        <w:t xml:space="preserve"> 5)</w:t>
      </w:r>
    </w:p>
    <w:p w:rsidR="000A0E17" w:rsidRPr="009667DE" w:rsidRDefault="000A0E17" w:rsidP="000A0E17">
      <w:pPr>
        <w:rPr>
          <w:b/>
        </w:rPr>
      </w:pPr>
      <w:r w:rsidRPr="009667DE">
        <w:rPr>
          <w:b/>
        </w:rPr>
        <w:t>Kriterij</w:t>
      </w:r>
      <w:r w:rsidR="00035BDD" w:rsidRPr="009667DE">
        <w:rPr>
          <w:b/>
        </w:rPr>
        <w:t xml:space="preserve"> odabira</w:t>
      </w:r>
      <w:r w:rsidRPr="009667DE">
        <w:rPr>
          <w:b/>
        </w:rPr>
        <w:t xml:space="preserve"> 14</w:t>
      </w:r>
    </w:p>
    <w:p w:rsidR="000A0E17" w:rsidRPr="009667DE" w:rsidRDefault="000A0E17" w:rsidP="000A0E17">
      <w:r w:rsidRPr="009667DE">
        <w:t>Da bi projekt ostvario bodove po ovom kriteriju minimalno 70% vrijednosti investicije projekta mora biti usmjereno na jedan od prioritetnih sektora (voće, povrće, ljekovito bilje, stočarstvo).</w:t>
      </w:r>
    </w:p>
    <w:p w:rsidR="000A0E17" w:rsidRPr="009667DE" w:rsidRDefault="000A0E17" w:rsidP="000A0E17"/>
    <w:p w:rsidR="000A0E17" w:rsidRPr="002E20E8" w:rsidRDefault="000A0E17" w:rsidP="000A0E17"/>
    <w:sectPr w:rsidR="000A0E17" w:rsidRPr="002E2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4B"/>
    <w:rsid w:val="0002144B"/>
    <w:rsid w:val="00035BDD"/>
    <w:rsid w:val="000A0E17"/>
    <w:rsid w:val="000D6688"/>
    <w:rsid w:val="00131487"/>
    <w:rsid w:val="001444D1"/>
    <w:rsid w:val="002E20E8"/>
    <w:rsid w:val="002E7C71"/>
    <w:rsid w:val="003D0586"/>
    <w:rsid w:val="004F74BB"/>
    <w:rsid w:val="005819BE"/>
    <w:rsid w:val="0063079E"/>
    <w:rsid w:val="006418DA"/>
    <w:rsid w:val="00721752"/>
    <w:rsid w:val="00762091"/>
    <w:rsid w:val="00762D0D"/>
    <w:rsid w:val="00807D06"/>
    <w:rsid w:val="009262C4"/>
    <w:rsid w:val="00935635"/>
    <w:rsid w:val="009667DE"/>
    <w:rsid w:val="00A257C6"/>
    <w:rsid w:val="00A31C80"/>
    <w:rsid w:val="00AE1422"/>
    <w:rsid w:val="00C054BA"/>
    <w:rsid w:val="00C35B4E"/>
    <w:rsid w:val="00D064DD"/>
    <w:rsid w:val="00D2627A"/>
    <w:rsid w:val="00DF3AB1"/>
    <w:rsid w:val="00E37389"/>
    <w:rsid w:val="00FE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B3778-EBFD-4998-B099-E869CCE3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2212</Words>
  <Characters>12609</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Bukal</dc:creator>
  <cp:keywords/>
  <dc:description/>
  <cp:lastModifiedBy>Robert</cp:lastModifiedBy>
  <cp:revision>4</cp:revision>
  <dcterms:created xsi:type="dcterms:W3CDTF">2019-03-11T07:56:00Z</dcterms:created>
  <dcterms:modified xsi:type="dcterms:W3CDTF">2019-03-11T10:05:00Z</dcterms:modified>
</cp:coreProperties>
</file>