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F85584" w:rsidRDefault="00F85584"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85584" w:rsidRDefault="00F85584"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608CC1C9" w:rsidR="00F85584" w:rsidRDefault="00F85584"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w:t>
                            </w:r>
                            <w:r>
                              <w:rPr>
                                <w:rFonts w:ascii="Calibri" w:hAnsi="Calibri" w:cs="Times New Roman"/>
                                <w:b/>
                                <w:sz w:val="36"/>
                                <w:szCs w:val="36"/>
                              </w:rPr>
                              <w:t>Zrinska gora-Turopolje“</w:t>
                            </w:r>
                            <w:r w:rsidRPr="00142A0F">
                              <w:rPr>
                                <w:rFonts w:ascii="Times New Roman" w:hAnsi="Times New Roman" w:cs="Times New Roman"/>
                                <w:b/>
                                <w:sz w:val="36"/>
                                <w:szCs w:val="36"/>
                              </w:rPr>
                              <w:t xml:space="preserve"> </w:t>
                            </w:r>
                          </w:p>
                          <w:p w14:paraId="35FB393A" w14:textId="77777777" w:rsidR="00F85584" w:rsidRDefault="00F85584"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85584" w:rsidRPr="0026668A" w:rsidRDefault="00F85584"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85584" w:rsidRPr="0026668A" w:rsidRDefault="00F85584"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85584" w:rsidRDefault="00F85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F85584" w:rsidRDefault="00F85584"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85584" w:rsidRDefault="00F85584"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85584" w:rsidRDefault="00F85584"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608CC1C9" w:rsidR="00F85584" w:rsidRDefault="00F85584"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w:t>
                      </w:r>
                      <w:r>
                        <w:rPr>
                          <w:rFonts w:ascii="Calibri" w:hAnsi="Calibri" w:cs="Times New Roman"/>
                          <w:b/>
                          <w:sz w:val="36"/>
                          <w:szCs w:val="36"/>
                        </w:rPr>
                        <w:t>Zrinska gora-Turopolje“</w:t>
                      </w:r>
                      <w:r w:rsidRPr="00142A0F">
                        <w:rPr>
                          <w:rFonts w:ascii="Times New Roman" w:hAnsi="Times New Roman" w:cs="Times New Roman"/>
                          <w:b/>
                          <w:sz w:val="36"/>
                          <w:szCs w:val="36"/>
                        </w:rPr>
                        <w:t xml:space="preserve"> </w:t>
                      </w:r>
                    </w:p>
                    <w:p w14:paraId="35FB393A" w14:textId="77777777" w:rsidR="00F85584" w:rsidRDefault="00F85584"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85584" w:rsidRPr="0026668A" w:rsidRDefault="00F85584"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85584" w:rsidRPr="0026668A" w:rsidRDefault="00F85584"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85584" w:rsidRDefault="00F85584"/>
                  </w:txbxContent>
                </v:textbox>
                <w10:wrap type="topAndBottom"/>
              </v:shape>
            </w:pict>
          </mc:Fallback>
        </mc:AlternateContent>
      </w:r>
    </w:p>
    <w:p w14:paraId="6A652944" w14:textId="3E2FBD90"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u daljnjem tekstu: Pravi</w:t>
      </w:r>
      <w:r w:rsidR="00E213B5">
        <w:rPr>
          <w:rFonts w:ascii="Times New Roman" w:hAnsi="Times New Roman" w:cs="Times New Roman"/>
          <w:sz w:val="24"/>
          <w:szCs w:val="24"/>
        </w:rPr>
        <w:t>lnik), Lokalna akcijska grupa „Zrinska gora-Turopolje</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45ECF995" w14:textId="0DBA2FC1" w:rsidR="00C45710" w:rsidRPr="008A3502" w:rsidRDefault="00E213B5" w:rsidP="00E213B5">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Pr>
          <w:rFonts w:ascii="Times New Roman" w:hAnsi="Times New Roman" w:cs="Times New Roman"/>
          <w:b/>
          <w:sz w:val="24"/>
          <w:szCs w:val="24"/>
        </w:rPr>
        <w:t>„Ulaganja u pokretanje, poboljšanje ili proširenje lokalnih temeljnih usluga za ruralno stanovništvo, uključujući slobodno vrijeme i kulturne aktivnosti te povezanu infrastrukturu“</w:t>
      </w:r>
    </w:p>
    <w:p w14:paraId="5E7F7F6B" w14:textId="77777777" w:rsidR="003175C8" w:rsidRPr="008A350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060DF983" w:rsidR="003175C8" w:rsidRPr="008A3502" w:rsidRDefault="00E213B5" w:rsidP="00F1774B">
      <w:pPr>
        <w:pStyle w:val="Header"/>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2.1.1.</w:t>
      </w:r>
    </w:p>
    <w:p w14:paraId="62D3A0E0" w14:textId="12C9DCDB" w:rsidR="003051B7" w:rsidRPr="008A3502" w:rsidRDefault="003051B7" w:rsidP="000F4779">
      <w:pPr>
        <w:pStyle w:val="Header"/>
        <w:shd w:val="clear" w:color="auto" w:fill="FFFFFF" w:themeFill="background1"/>
        <w:ind w:right="-279"/>
        <w:rPr>
          <w:rFonts w:ascii="Times New Roman" w:hAnsi="Times New Roman" w:cs="Times New Roman"/>
          <w:b/>
          <w:sz w:val="24"/>
          <w:szCs w:val="24"/>
        </w:rPr>
      </w:pPr>
    </w:p>
    <w:p w14:paraId="37FB7989" w14:textId="72766B45" w:rsidR="003051B7" w:rsidRPr="008A3502" w:rsidRDefault="005526CF" w:rsidP="003051B7">
      <w:pPr>
        <w:pStyle w:val="Header"/>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E213B5">
        <w:rPr>
          <w:rFonts w:ascii="Times New Roman" w:hAnsi="Times New Roman" w:cs="Times New Roman"/>
          <w:sz w:val="24"/>
          <w:szCs w:val="24"/>
        </w:rPr>
        <w:t>1.0.</w:t>
      </w:r>
    </w:p>
    <w:p w14:paraId="2F66FAB5" w14:textId="1B1DE25E" w:rsidR="000F4779" w:rsidRPr="008A3502" w:rsidRDefault="00E213B5" w:rsidP="003051B7">
      <w:pPr>
        <w:pStyle w:val="Header"/>
        <w:shd w:val="clear" w:color="auto" w:fill="FFFFFF" w:themeFill="background1"/>
        <w:spacing w:line="480" w:lineRule="auto"/>
        <w:ind w:right="-274"/>
        <w:rPr>
          <w:rFonts w:ascii="Times New Roman" w:hAnsi="Times New Roman" w:cs="Times New Roman"/>
          <w:sz w:val="24"/>
          <w:szCs w:val="24"/>
        </w:rPr>
      </w:pPr>
      <w:r>
        <w:rPr>
          <w:rFonts w:ascii="Times New Roman" w:hAnsi="Times New Roman" w:cs="Times New Roman"/>
          <w:sz w:val="24"/>
          <w:szCs w:val="24"/>
        </w:rPr>
        <w:t>Datum: 03.12.2018.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Heading"/>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TOC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E645DC">
            <w:rPr>
              <w:noProof/>
            </w:rPr>
            <w:t>3</w:t>
          </w:r>
          <w:r w:rsidR="008A3502" w:rsidRPr="008A3502">
            <w:rPr>
              <w:noProof/>
            </w:rPr>
            <w:fldChar w:fldCharType="end"/>
          </w:r>
        </w:p>
        <w:p w14:paraId="48E94270" w14:textId="69928A74"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4</w:t>
          </w:r>
          <w:r w:rsidRPr="008A3502">
            <w:rPr>
              <w:rFonts w:ascii="Times New Roman" w:hAnsi="Times New Roman"/>
              <w:noProof/>
            </w:rPr>
            <w:fldChar w:fldCharType="end"/>
          </w:r>
        </w:p>
        <w:p w14:paraId="0EB2CE80" w14:textId="3CED8FBA"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TOC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E645DC">
            <w:rPr>
              <w:noProof/>
            </w:rPr>
            <w:t>7</w:t>
          </w:r>
          <w:r w:rsidRPr="008A3502">
            <w:rPr>
              <w:noProof/>
            </w:rPr>
            <w:fldChar w:fldCharType="end"/>
          </w:r>
        </w:p>
        <w:p w14:paraId="72898241" w14:textId="2EAD995B"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10</w:t>
          </w:r>
          <w:r w:rsidRPr="008A3502">
            <w:rPr>
              <w:rFonts w:ascii="Times New Roman" w:hAnsi="Times New Roman"/>
              <w:noProof/>
            </w:rPr>
            <w:fldChar w:fldCharType="end"/>
          </w:r>
        </w:p>
        <w:p w14:paraId="52D1C47F" w14:textId="0E377FCE" w:rsidR="008A3502" w:rsidRPr="008A3502" w:rsidRDefault="008A3502">
          <w:pPr>
            <w:pStyle w:val="TOC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E645DC">
            <w:rPr>
              <w:noProof/>
            </w:rPr>
            <w:t>11</w:t>
          </w:r>
          <w:r w:rsidRPr="008A3502">
            <w:rPr>
              <w:noProof/>
            </w:rPr>
            <w:fldChar w:fldCharType="end"/>
          </w:r>
        </w:p>
        <w:p w14:paraId="546C2EED" w14:textId="51020D99"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13</w:t>
          </w:r>
          <w:r w:rsidRPr="008A3502">
            <w:rPr>
              <w:rFonts w:ascii="Times New Roman" w:hAnsi="Times New Roman"/>
              <w:noProof/>
            </w:rPr>
            <w:fldChar w:fldCharType="end"/>
          </w:r>
        </w:p>
        <w:p w14:paraId="0CC74D02" w14:textId="09570FE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TOC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E645DC">
            <w:rPr>
              <w:noProof/>
            </w:rPr>
            <w:t>18</w:t>
          </w:r>
          <w:r w:rsidRPr="008A3502">
            <w:rPr>
              <w:noProof/>
            </w:rPr>
            <w:fldChar w:fldCharType="end"/>
          </w:r>
        </w:p>
        <w:p w14:paraId="7C80ED4B" w14:textId="07986E81"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18</w:t>
          </w:r>
          <w:r w:rsidRPr="008A3502">
            <w:rPr>
              <w:rFonts w:ascii="Times New Roman" w:hAnsi="Times New Roman"/>
              <w:noProof/>
            </w:rPr>
            <w:fldChar w:fldCharType="end"/>
          </w:r>
        </w:p>
        <w:p w14:paraId="791C4117" w14:textId="3183D997"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19</w:t>
          </w:r>
          <w:r w:rsidRPr="008A3502">
            <w:rPr>
              <w:rFonts w:ascii="Times New Roman" w:hAnsi="Times New Roman"/>
              <w:noProof/>
            </w:rPr>
            <w:fldChar w:fldCharType="end"/>
          </w:r>
        </w:p>
        <w:p w14:paraId="4BFA1075" w14:textId="604F499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19</w:t>
          </w:r>
          <w:r w:rsidRPr="008A3502">
            <w:rPr>
              <w:rFonts w:ascii="Times New Roman" w:hAnsi="Times New Roman"/>
              <w:noProof/>
            </w:rPr>
            <w:fldChar w:fldCharType="end"/>
          </w:r>
        </w:p>
        <w:p w14:paraId="53563125" w14:textId="6373D4A5"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20</w:t>
          </w:r>
          <w:r w:rsidRPr="008A3502">
            <w:rPr>
              <w:rFonts w:ascii="Times New Roman" w:hAnsi="Times New Roman"/>
              <w:noProof/>
            </w:rPr>
            <w:fldChar w:fldCharType="end"/>
          </w:r>
        </w:p>
        <w:p w14:paraId="4AEE6DB7" w14:textId="1B6F4CF5" w:rsidR="008A3502" w:rsidRPr="008A3502" w:rsidRDefault="008A3502">
          <w:pPr>
            <w:pStyle w:val="TOC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E645DC">
            <w:rPr>
              <w:noProof/>
            </w:rPr>
            <w:t>21</w:t>
          </w:r>
          <w:r w:rsidRPr="008A3502">
            <w:rPr>
              <w:noProof/>
            </w:rPr>
            <w:fldChar w:fldCharType="end"/>
          </w:r>
        </w:p>
        <w:p w14:paraId="37F3F413" w14:textId="2006FBA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21</w:t>
          </w:r>
          <w:r w:rsidRPr="008A3502">
            <w:rPr>
              <w:rFonts w:ascii="Times New Roman" w:hAnsi="Times New Roman"/>
              <w:noProof/>
            </w:rPr>
            <w:fldChar w:fldCharType="end"/>
          </w:r>
        </w:p>
        <w:p w14:paraId="24E75AA4" w14:textId="758D651F"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22</w:t>
          </w:r>
          <w:r w:rsidRPr="008A3502">
            <w:rPr>
              <w:rFonts w:ascii="Times New Roman" w:hAnsi="Times New Roman"/>
              <w:noProof/>
            </w:rPr>
            <w:fldChar w:fldCharType="end"/>
          </w:r>
        </w:p>
        <w:p w14:paraId="5A8D01F8" w14:textId="2599F35D"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22</w:t>
          </w:r>
          <w:r w:rsidRPr="008A3502">
            <w:rPr>
              <w:rFonts w:ascii="Times New Roman" w:hAnsi="Times New Roman"/>
              <w:noProof/>
            </w:rPr>
            <w:fldChar w:fldCharType="end"/>
          </w:r>
        </w:p>
        <w:p w14:paraId="6E91705E" w14:textId="11788E64"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23</w:t>
          </w:r>
          <w:r w:rsidRPr="008A3502">
            <w:rPr>
              <w:rFonts w:ascii="Times New Roman" w:hAnsi="Times New Roman"/>
              <w:noProof/>
            </w:rPr>
            <w:fldChar w:fldCharType="end"/>
          </w:r>
        </w:p>
        <w:p w14:paraId="5C90A7DA" w14:textId="6D7C601B"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24</w:t>
          </w:r>
          <w:r w:rsidRPr="008A3502">
            <w:rPr>
              <w:rFonts w:ascii="Times New Roman" w:hAnsi="Times New Roman"/>
              <w:noProof/>
            </w:rPr>
            <w:fldChar w:fldCharType="end"/>
          </w:r>
        </w:p>
        <w:p w14:paraId="34845101" w14:textId="5327ED7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E645DC">
            <w:rPr>
              <w:rFonts w:ascii="Times New Roman" w:hAnsi="Times New Roman"/>
              <w:noProof/>
            </w:rPr>
            <w:t>25</w:t>
          </w:r>
          <w:r w:rsidRPr="008A3502">
            <w:rPr>
              <w:rFonts w:ascii="Times New Roman" w:hAnsi="Times New Roman"/>
              <w:noProof/>
            </w:rPr>
            <w:fldChar w:fldCharType="end"/>
          </w:r>
        </w:p>
        <w:p w14:paraId="5324620A" w14:textId="1A3B50E2" w:rsidR="008A3502" w:rsidRPr="008A3502" w:rsidRDefault="008A3502">
          <w:pPr>
            <w:pStyle w:val="TOC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E645DC">
            <w:rPr>
              <w:noProof/>
            </w:rPr>
            <w:t>27</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Heading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53BC2B62" w:rsidR="00F76FED" w:rsidRPr="008A3502"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6E20E315"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E213B5">
        <w:rPr>
          <w:rStyle w:val="hps"/>
          <w:rFonts w:ascii="Times New Roman" w:eastAsia="Times New Roman" w:hAnsi="Times New Roman" w:cs="Times New Roman"/>
          <w:bCs/>
          <w:sz w:val="24"/>
          <w:szCs w:val="24"/>
          <w:lang w:eastAsia="ar-SA"/>
        </w:rPr>
        <w:t xml:space="preserve"> </w:t>
      </w:r>
      <w:r w:rsidR="00E213B5">
        <w:rPr>
          <w:rFonts w:ascii="Times New Roman" w:hAnsi="Times New Roman" w:cs="Times New Roman"/>
          <w:sz w:val="24"/>
          <w:szCs w:val="24"/>
        </w:rPr>
        <w:t>„Zrinska gora-Turopolje</w:t>
      </w:r>
      <w:r w:rsidR="00E213B5" w:rsidRPr="008A3502">
        <w:rPr>
          <w:rFonts w:ascii="Times New Roman" w:hAnsi="Times New Roman" w:cs="Times New Roman"/>
          <w:sz w:val="24"/>
          <w:szCs w:val="24"/>
        </w:rPr>
        <w:t>“</w:t>
      </w:r>
      <w:r w:rsidR="00E213B5">
        <w:rPr>
          <w:rFonts w:ascii="Times New Roman" w:hAnsi="Times New Roman" w:cs="Times New Roman"/>
          <w:sz w:val="24"/>
          <w:szCs w:val="24"/>
        </w:rPr>
        <w:t>.</w:t>
      </w:r>
    </w:p>
    <w:p w14:paraId="62DAEFC8" w14:textId="6BE1841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167A6E35"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3EB8BB0F"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5A5E5E1B"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E645DC">
        <w:rPr>
          <w:rFonts w:ascii="Times New Roman" w:hAnsi="Times New Roman" w:cs="Times New Roman"/>
          <w:b/>
          <w:sz w:val="24"/>
          <w:szCs w:val="24"/>
        </w:rPr>
        <w:t>2,959,812.05</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5ED9DBF8" w:rsidR="00881F51" w:rsidRPr="008A3502" w:rsidRDefault="00881F51" w:rsidP="00142A0F">
      <w:pPr>
        <w:jc w:val="both"/>
        <w:rPr>
          <w:rStyle w:val="hps"/>
          <w:rFonts w:ascii="Times New Roman" w:hAnsi="Times New Roman" w:cs="Times New Roman"/>
          <w:bCs/>
          <w:sz w:val="24"/>
          <w:szCs w:val="24"/>
          <w:lang w:eastAsia="ar-SA"/>
        </w:rPr>
      </w:pPr>
    </w:p>
    <w:p w14:paraId="08DC32DD" w14:textId="4EE12C30"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FootnoteReferenc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4BB02F02" w14:textId="0A8016BA" w:rsidR="00E213B5" w:rsidRPr="00E213B5" w:rsidRDefault="00881F51" w:rsidP="00E213B5">
      <w:pPr>
        <w:pStyle w:val="ListParagraph"/>
        <w:numPr>
          <w:ilvl w:val="0"/>
          <w:numId w:val="15"/>
        </w:numPr>
        <w:shd w:val="clear" w:color="auto" w:fill="FFFFFF" w:themeFill="background1"/>
        <w:spacing w:after="120"/>
        <w:contextualSpacing w:val="0"/>
        <w:jc w:val="both"/>
        <w:rPr>
          <w:rStyle w:val="hps"/>
          <w:rFonts w:ascii="Times New Roman" w:hAnsi="Times New Roman" w:cs="Times New Roman"/>
          <w:b/>
          <w:sz w:val="24"/>
          <w:szCs w:val="24"/>
        </w:rPr>
      </w:pPr>
      <w:r w:rsidRPr="00E213B5">
        <w:rPr>
          <w:rStyle w:val="hps"/>
          <w:rFonts w:ascii="Times New Roman" w:hAnsi="Times New Roman" w:cs="Times New Roman"/>
          <w:bCs/>
          <w:sz w:val="24"/>
          <w:szCs w:val="24"/>
          <w:u w:val="single"/>
          <w:shd w:val="clear" w:color="auto" w:fill="FFFFFF" w:themeFill="background1"/>
          <w:lang w:eastAsia="ar-SA"/>
        </w:rPr>
        <w:t>O</w:t>
      </w:r>
      <w:r w:rsidRPr="00E213B5">
        <w:rPr>
          <w:rStyle w:val="hps"/>
          <w:rFonts w:ascii="Times New Roman" w:hAnsi="Times New Roman" w:cs="Times New Roman"/>
          <w:bCs/>
          <w:sz w:val="24"/>
          <w:szCs w:val="24"/>
          <w:u w:val="single"/>
          <w:lang w:eastAsia="ar-SA"/>
        </w:rPr>
        <w:t>pćine</w:t>
      </w:r>
      <w:r w:rsidRPr="00E213B5">
        <w:rPr>
          <w:rStyle w:val="hps"/>
          <w:rFonts w:ascii="Times New Roman" w:hAnsi="Times New Roman" w:cs="Times New Roman"/>
          <w:bCs/>
          <w:sz w:val="24"/>
          <w:szCs w:val="24"/>
          <w:lang w:eastAsia="ar-SA"/>
        </w:rPr>
        <w:t xml:space="preserve">: </w:t>
      </w:r>
      <w:r w:rsidR="00E213B5" w:rsidRPr="00E213B5">
        <w:rPr>
          <w:rStyle w:val="hps"/>
          <w:rFonts w:ascii="Times New Roman" w:hAnsi="Times New Roman" w:cs="Times New Roman"/>
          <w:b/>
          <w:bCs/>
          <w:sz w:val="24"/>
          <w:szCs w:val="24"/>
          <w:lang w:eastAsia="ar-SA"/>
        </w:rPr>
        <w:t>Lekenik, Orle, Donji Kukuruzari i Martinska Ves</w:t>
      </w:r>
    </w:p>
    <w:p w14:paraId="41E0636C" w14:textId="5884D14E" w:rsidR="00E213B5" w:rsidRPr="00E213B5" w:rsidRDefault="00881F51" w:rsidP="00E213B5">
      <w:pPr>
        <w:pStyle w:val="ListParagraph"/>
        <w:numPr>
          <w:ilvl w:val="0"/>
          <w:numId w:val="15"/>
        </w:numPr>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u w:val="single"/>
          <w:lang w:eastAsia="ar-SA"/>
        </w:rPr>
        <w:t>Gradovi</w:t>
      </w:r>
      <w:r w:rsidR="00E213B5">
        <w:rPr>
          <w:rStyle w:val="hps"/>
          <w:rFonts w:ascii="Times New Roman" w:hAnsi="Times New Roman" w:cs="Times New Roman"/>
          <w:bCs/>
          <w:sz w:val="24"/>
          <w:szCs w:val="24"/>
          <w:lang w:eastAsia="ar-SA"/>
        </w:rPr>
        <w:t xml:space="preserve">: </w:t>
      </w:r>
      <w:r w:rsidR="005667F7" w:rsidRPr="00E213B5">
        <w:rPr>
          <w:rStyle w:val="hps"/>
          <w:rFonts w:ascii="Times New Roman" w:hAnsi="Times New Roman" w:cs="Times New Roman"/>
          <w:bCs/>
          <w:sz w:val="24"/>
          <w:szCs w:val="24"/>
          <w:lang w:eastAsia="ar-SA"/>
        </w:rPr>
        <w:t xml:space="preserve"> </w:t>
      </w:r>
      <w:r w:rsidR="00E213B5" w:rsidRPr="00E213B5">
        <w:rPr>
          <w:rStyle w:val="hps"/>
          <w:rFonts w:ascii="Times New Roman" w:hAnsi="Times New Roman" w:cs="Times New Roman"/>
          <w:b/>
          <w:bCs/>
          <w:sz w:val="24"/>
          <w:szCs w:val="24"/>
          <w:lang w:eastAsia="ar-SA"/>
        </w:rPr>
        <w:t>Glina, Petrinja, naselja Grada Velika Gorica</w:t>
      </w:r>
      <w:r w:rsidR="00E213B5" w:rsidRPr="00E213B5">
        <w:rPr>
          <w:rStyle w:val="hps"/>
          <w:rFonts w:ascii="Times New Roman" w:hAnsi="Times New Roman" w:cs="Times New Roman"/>
          <w:bCs/>
          <w:sz w:val="24"/>
          <w:szCs w:val="24"/>
          <w:lang w:eastAsia="ar-SA"/>
        </w:rPr>
        <w:t>; Bapča, Bukovčak, Buševec,</w:t>
      </w:r>
    </w:p>
    <w:p w14:paraId="58530684" w14:textId="200486CA"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Cerovski Vrh, Cvetković Brdo, Črnkovec, Donja Lomnica, Donje Podotočje, Drenje</w:t>
      </w:r>
    </w:p>
    <w:p w14:paraId="042DDF75" w14:textId="54F2CAFB"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Šćitarjevsko, Dubranec, Gornja Lomnica, Gornje Podotočje, Gradići, Gudci, Gustelnica,</w:t>
      </w:r>
    </w:p>
    <w:p w14:paraId="6EE23563" w14:textId="48980C17"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Jagodno, Jerebić, Ključić Brdo, Kobilić, Kozjača, Kuče, Lazi Turopoljski, Lazina Čička,</w:t>
      </w:r>
    </w:p>
    <w:p w14:paraId="77270568" w14:textId="187692AE"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Lekneno, Lukavec, Mala Buna, Mala Kosnica, Markuševec Turopoljski, Mičevec,</w:t>
      </w:r>
    </w:p>
    <w:p w14:paraId="2F075D18" w14:textId="3B92FB9E"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Mraclin, Novaki Šćitarjevski, Novo Čiče, Obrezina, Ogulinec, Okuje, Petina, Petravec,</w:t>
      </w:r>
    </w:p>
    <w:p w14:paraId="488B345D" w14:textId="526B3A80"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Petrovina Turopoljska, Poljana Čička, Prvonožina, Rakitovec, Ribnica, Sasi, Selnica, Sop</w:t>
      </w:r>
    </w:p>
    <w:p w14:paraId="1F64BB0A" w14:textId="3F07399E"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Bukevski, Staro Čiče, Strmec Bukevski, Šćitarjevo, Šiljakovina, Trnje, Turopolje, Velika</w:t>
      </w:r>
    </w:p>
    <w:p w14:paraId="76682DA5" w14:textId="585AD01D"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Buna, Velika Kosnica, Velika Mlaka, Vukomerić, Vukovina, Zablatje Posavsko i slijedeća</w:t>
      </w:r>
    </w:p>
    <w:p w14:paraId="15AC09EE" w14:textId="31C529DF"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
          <w:bCs/>
          <w:sz w:val="24"/>
          <w:szCs w:val="24"/>
          <w:lang w:eastAsia="ar-SA"/>
        </w:rPr>
        <w:t>naselja Grada Siska;</w:t>
      </w:r>
      <w:r w:rsidRPr="00E213B5">
        <w:rPr>
          <w:rStyle w:val="hps"/>
          <w:rFonts w:ascii="Times New Roman" w:hAnsi="Times New Roman" w:cs="Times New Roman"/>
          <w:bCs/>
          <w:sz w:val="24"/>
          <w:szCs w:val="24"/>
          <w:lang w:eastAsia="ar-SA"/>
        </w:rPr>
        <w:t xml:space="preserve"> Blinjski Kut, Budaševo, Bukovsko, Crnac, Čigoć, Donje Komarevo,</w:t>
      </w:r>
    </w:p>
    <w:p w14:paraId="0405B406" w14:textId="16818B2A"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Gornje Komarevo, Greda, Gušće, Hrastelnica, Jazvenik, Klobučak, Kratečko, Letovanci,</w:t>
      </w:r>
    </w:p>
    <w:p w14:paraId="69D8055F" w14:textId="3B0B5BCB"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Lonja, Lukavec Posavski, Madžari, Mužilovčica, Novo Pračno, Novo Selo, Novo Selo</w:t>
      </w:r>
    </w:p>
    <w:p w14:paraId="1F52FA63" w14:textId="0BCC202E" w:rsidR="00E213B5" w:rsidRPr="00E213B5" w:rsidRDefault="00E213B5" w:rsidP="00E213B5">
      <w:pPr>
        <w:pStyle w:val="ListParagraph"/>
        <w:shd w:val="clear" w:color="auto" w:fill="FFFFFF" w:themeFill="background1"/>
        <w:spacing w:after="120"/>
        <w:jc w:val="both"/>
        <w:rPr>
          <w:rStyle w:val="hps"/>
          <w:rFonts w:ascii="Times New Roman" w:hAnsi="Times New Roman" w:cs="Times New Roman"/>
          <w:bCs/>
          <w:sz w:val="24"/>
          <w:szCs w:val="24"/>
          <w:lang w:eastAsia="ar-SA"/>
        </w:rPr>
      </w:pPr>
      <w:r w:rsidRPr="00E213B5">
        <w:rPr>
          <w:rStyle w:val="hps"/>
          <w:rFonts w:ascii="Times New Roman" w:hAnsi="Times New Roman" w:cs="Times New Roman"/>
          <w:bCs/>
          <w:sz w:val="24"/>
          <w:szCs w:val="24"/>
          <w:lang w:eastAsia="ar-SA"/>
        </w:rPr>
        <w:t>Palanječko, Odra Sisačka, Palanjek, Prelošćica, Sela, Stara Drenčina, Staro Pračno, Staro</w:t>
      </w:r>
    </w:p>
    <w:p w14:paraId="0D26F6BC" w14:textId="30FB2921" w:rsidR="00B87294" w:rsidRPr="00E213B5" w:rsidRDefault="00E213B5" w:rsidP="00E213B5">
      <w:pPr>
        <w:pStyle w:val="ListParagraph"/>
        <w:shd w:val="clear" w:color="auto" w:fill="FFFFFF" w:themeFill="background1"/>
        <w:spacing w:after="120"/>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0AD72EA5">
                <wp:simplePos x="0" y="0"/>
                <wp:positionH relativeFrom="margin">
                  <wp:align>left</wp:align>
                </wp:positionH>
                <wp:positionV relativeFrom="paragraph">
                  <wp:posOffset>476250</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F85584" w:rsidRPr="001B6260" w:rsidRDefault="00F85584"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F85584" w:rsidRPr="001B6260" w:rsidRDefault="00F85584" w:rsidP="004E0962">
                            <w:pPr>
                              <w:rPr>
                                <w:rFonts w:ascii="Times New Roman" w:hAnsi="Times New Roman"/>
                                <w:b/>
                              </w:rPr>
                            </w:pPr>
                          </w:p>
                          <w:p w14:paraId="6666F986" w14:textId="7B8443F7" w:rsidR="00F85584" w:rsidRPr="001B6260" w:rsidRDefault="00F85584"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w:t>
                            </w:r>
                            <w:r>
                              <w:rPr>
                                <w:rFonts w:ascii="Times New Roman" w:hAnsi="Times New Roman"/>
                                <w:sz w:val="24"/>
                                <w:szCs w:val="24"/>
                              </w:rPr>
                              <w:t xml:space="preserve">avedeni su na mrežnoj stranici: </w:t>
                            </w:r>
                            <w:r w:rsidRPr="00E213B5">
                              <w:rPr>
                                <w:rFonts w:ascii="Times New Roman" w:hAnsi="Times New Roman"/>
                                <w:sz w:val="24"/>
                                <w:szCs w:val="24"/>
                              </w:rPr>
                              <w:t xml:space="preserve">www.lag-zrinskagora-turopolje.hr. </w:t>
                            </w:r>
                            <w:r w:rsidRPr="001B6260">
                              <w:rPr>
                                <w:rFonts w:ascii="Times New Roman" w:hAnsi="Times New Roman"/>
                                <w:sz w:val="24"/>
                                <w:szCs w:val="24"/>
                              </w:rPr>
                              <w:t xml:space="preserve"> </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0;margin-top:37.5pt;width:476.35pt;height:64.4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" filled="f" strokeweight=".5pt">
                <v:textbox>
                  <w:txbxContent>
                    <w:p w14:paraId="7D297BD6" w14:textId="77777777" w:rsidR="00F85584" w:rsidRPr="001B6260" w:rsidRDefault="00F85584"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F85584" w:rsidRPr="001B6260" w:rsidRDefault="00F85584" w:rsidP="004E0962">
                      <w:pPr>
                        <w:rPr>
                          <w:rFonts w:ascii="Times New Roman" w:hAnsi="Times New Roman"/>
                          <w:b/>
                        </w:rPr>
                      </w:pPr>
                    </w:p>
                    <w:p w14:paraId="6666F986" w14:textId="7B8443F7" w:rsidR="00F85584" w:rsidRPr="001B6260" w:rsidRDefault="00F85584"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w:t>
                      </w:r>
                      <w:r>
                        <w:rPr>
                          <w:rFonts w:ascii="Times New Roman" w:hAnsi="Times New Roman"/>
                          <w:sz w:val="24"/>
                          <w:szCs w:val="24"/>
                        </w:rPr>
                        <w:t xml:space="preserve">avedeni su na mrežnoj stranici: </w:t>
                      </w:r>
                      <w:r w:rsidRPr="00E213B5">
                        <w:rPr>
                          <w:rFonts w:ascii="Times New Roman" w:hAnsi="Times New Roman"/>
                          <w:sz w:val="24"/>
                          <w:szCs w:val="24"/>
                        </w:rPr>
                        <w:t xml:space="preserve">www.lag-zrinskagora-turopolje.hr. </w:t>
                      </w:r>
                      <w:r w:rsidRPr="001B6260">
                        <w:rPr>
                          <w:rFonts w:ascii="Times New Roman" w:hAnsi="Times New Roman"/>
                          <w:sz w:val="24"/>
                          <w:szCs w:val="24"/>
                        </w:rPr>
                        <w:t xml:space="preserve"> </w:t>
                      </w:r>
                      <w:r>
                        <w:rPr>
                          <w:rFonts w:ascii="Times New Roman" w:hAnsi="Times New Roman"/>
                          <w:sz w:val="24"/>
                          <w:szCs w:val="24"/>
                        </w:rPr>
                        <w:t xml:space="preserve"> </w:t>
                      </w:r>
                    </w:p>
                  </w:txbxContent>
                </v:textbox>
                <w10:wrap type="topAndBottom" anchorx="margin"/>
              </v:shape>
            </w:pict>
          </mc:Fallback>
        </mc:AlternateContent>
      </w:r>
      <w:r w:rsidRPr="00E213B5">
        <w:rPr>
          <w:rStyle w:val="hps"/>
          <w:rFonts w:ascii="Times New Roman" w:hAnsi="Times New Roman" w:cs="Times New Roman"/>
          <w:bCs/>
          <w:sz w:val="24"/>
          <w:szCs w:val="24"/>
          <w:lang w:eastAsia="ar-SA"/>
        </w:rPr>
        <w:t>Selo, Stupno, Suvoj, Topolovac, Veliko Svinjičko, Vurot i Žabno.</w:t>
      </w:r>
    </w:p>
    <w:p w14:paraId="17CD50D9" w14:textId="6401BD31" w:rsidR="00B87294" w:rsidRPr="008A3502" w:rsidRDefault="00DE6539" w:rsidP="00F27F8B">
      <w:pPr>
        <w:pStyle w:val="Heading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lastRenderedPageBreak/>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557E7F14"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30157B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30C73FD9"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0DEA848E"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7D4BA06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3941486C"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6A50C99E"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1B60B4D5"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2C8946A2"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26493CAD"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09061AA4"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2A617FBB"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w:t>
      </w:r>
      <w:r w:rsidRPr="008A3502">
        <w:rPr>
          <w:rFonts w:ascii="Times New Roman" w:eastAsia="Times New Roman" w:hAnsi="Times New Roman" w:cs="Times New Roman"/>
          <w:iCs/>
          <w:color w:val="000000"/>
          <w:sz w:val="24"/>
          <w:szCs w:val="24"/>
          <w:lang w:eastAsia="hr-HR"/>
        </w:rPr>
        <w:lastRenderedPageBreak/>
        <w:t>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6513DFF" w14:textId="77777777" w:rsidR="00AC61AC" w:rsidRDefault="004013DA" w:rsidP="003051B7">
      <w:pPr>
        <w:jc w:val="both"/>
        <w:rPr>
          <w:rFonts w:ascii="Times New Roman" w:hAnsi="Times New Roman" w:cs="Times New Roman"/>
          <w:sz w:val="24"/>
          <w:szCs w:val="24"/>
        </w:rPr>
      </w:pPr>
      <w:r w:rsidRPr="00E645DC">
        <w:rPr>
          <w:rFonts w:ascii="Times New Roman" w:hAnsi="Times New Roman" w:cs="Times New Roman"/>
          <w:sz w:val="24"/>
          <w:szCs w:val="24"/>
        </w:rPr>
        <w:t>N</w:t>
      </w:r>
      <w:r w:rsidR="003861DF" w:rsidRPr="00E645DC">
        <w:rPr>
          <w:rFonts w:ascii="Times New Roman" w:hAnsi="Times New Roman" w:cs="Times New Roman"/>
          <w:sz w:val="24"/>
          <w:szCs w:val="24"/>
        </w:rPr>
        <w:t>a</w:t>
      </w:r>
      <w:r w:rsidRPr="00E645DC">
        <w:rPr>
          <w:rFonts w:ascii="Times New Roman" w:hAnsi="Times New Roman" w:cs="Times New Roman"/>
          <w:sz w:val="24"/>
          <w:szCs w:val="24"/>
        </w:rPr>
        <w:t>jniža uk</w:t>
      </w:r>
      <w:r w:rsidR="004048CF" w:rsidRPr="00E645DC">
        <w:rPr>
          <w:rFonts w:ascii="Times New Roman" w:hAnsi="Times New Roman" w:cs="Times New Roman"/>
          <w:sz w:val="24"/>
          <w:szCs w:val="24"/>
        </w:rPr>
        <w:t xml:space="preserve">upna vrijednost projekta i </w:t>
      </w:r>
      <w:r w:rsidRPr="00E645DC">
        <w:rPr>
          <w:rFonts w:ascii="Times New Roman" w:hAnsi="Times New Roman" w:cs="Times New Roman"/>
          <w:sz w:val="24"/>
          <w:szCs w:val="24"/>
        </w:rPr>
        <w:t xml:space="preserve">javne potpore iznosi </w:t>
      </w:r>
      <w:r w:rsidRPr="00FC331B">
        <w:rPr>
          <w:rFonts w:ascii="Times New Roman" w:hAnsi="Times New Roman" w:cs="Times New Roman"/>
          <w:b/>
          <w:sz w:val="24"/>
          <w:szCs w:val="24"/>
        </w:rPr>
        <w:t>15.000 EUR</w:t>
      </w:r>
      <w:r w:rsidR="00766F07" w:rsidRPr="00E645DC">
        <w:rPr>
          <w:rFonts w:ascii="Times New Roman" w:hAnsi="Times New Roman" w:cs="Times New Roman"/>
          <w:sz w:val="24"/>
          <w:szCs w:val="24"/>
        </w:rPr>
        <w:t xml:space="preserve"> </w:t>
      </w:r>
      <w:r w:rsidRPr="00E645DC">
        <w:rPr>
          <w:rFonts w:ascii="Times New Roman" w:hAnsi="Times New Roman" w:cs="Times New Roman"/>
          <w:sz w:val="24"/>
          <w:szCs w:val="24"/>
        </w:rPr>
        <w:t xml:space="preserve">u kunskoj protuvrijednosti. </w:t>
      </w:r>
    </w:p>
    <w:p w14:paraId="45BDD965" w14:textId="381794C1" w:rsidR="00AC61AC" w:rsidRDefault="008E1A5F" w:rsidP="008E1A5F">
      <w:pPr>
        <w:tabs>
          <w:tab w:val="left" w:pos="2970"/>
        </w:tabs>
        <w:jc w:val="both"/>
        <w:rPr>
          <w:rFonts w:ascii="Times New Roman" w:hAnsi="Times New Roman" w:cs="Times New Roman"/>
          <w:sz w:val="24"/>
          <w:szCs w:val="24"/>
        </w:rPr>
      </w:pPr>
      <w:r>
        <w:rPr>
          <w:rFonts w:ascii="Times New Roman" w:hAnsi="Times New Roman" w:cs="Times New Roman"/>
          <w:sz w:val="24"/>
          <w:szCs w:val="24"/>
        </w:rPr>
        <w:tab/>
      </w:r>
    </w:p>
    <w:p w14:paraId="03DC687B" w14:textId="77777777" w:rsidR="00AC61AC" w:rsidRDefault="004013DA" w:rsidP="003051B7">
      <w:pPr>
        <w:jc w:val="both"/>
        <w:rPr>
          <w:rFonts w:ascii="Times New Roman" w:hAnsi="Times New Roman" w:cs="Times New Roman"/>
          <w:sz w:val="24"/>
          <w:szCs w:val="24"/>
        </w:rPr>
      </w:pPr>
      <w:r w:rsidRPr="00543973">
        <w:rPr>
          <w:rFonts w:ascii="Times New Roman" w:hAnsi="Times New Roman" w:cs="Times New Roman"/>
          <w:sz w:val="24"/>
          <w:szCs w:val="24"/>
        </w:rPr>
        <w:t>Najviša ukupna</w:t>
      </w:r>
      <w:r w:rsidR="00AC61AC" w:rsidRPr="00543973">
        <w:rPr>
          <w:rFonts w:ascii="Times New Roman" w:hAnsi="Times New Roman" w:cs="Times New Roman"/>
          <w:sz w:val="24"/>
          <w:szCs w:val="24"/>
        </w:rPr>
        <w:t xml:space="preserve"> vrijednost projekta </w:t>
      </w:r>
      <w:r w:rsidR="00766F07" w:rsidRPr="00543973">
        <w:rPr>
          <w:rFonts w:ascii="Times New Roman" w:hAnsi="Times New Roman" w:cs="Times New Roman"/>
          <w:sz w:val="24"/>
          <w:szCs w:val="24"/>
        </w:rPr>
        <w:t xml:space="preserve">iznosi </w:t>
      </w:r>
      <w:r w:rsidR="00AC61AC" w:rsidRPr="00543973">
        <w:rPr>
          <w:rFonts w:ascii="Times New Roman" w:hAnsi="Times New Roman" w:cs="Times New Roman"/>
          <w:b/>
          <w:sz w:val="24"/>
          <w:szCs w:val="24"/>
        </w:rPr>
        <w:t>100</w:t>
      </w:r>
      <w:r w:rsidR="00766F07" w:rsidRPr="00543973">
        <w:rPr>
          <w:rFonts w:ascii="Times New Roman" w:hAnsi="Times New Roman" w:cs="Times New Roman"/>
          <w:b/>
          <w:sz w:val="24"/>
          <w:szCs w:val="24"/>
        </w:rPr>
        <w:t>.000</w:t>
      </w:r>
      <w:r w:rsidR="000B6BCD" w:rsidRPr="00543973">
        <w:rPr>
          <w:rFonts w:ascii="Times New Roman" w:hAnsi="Times New Roman" w:cs="Times New Roman"/>
          <w:b/>
          <w:sz w:val="24"/>
          <w:szCs w:val="24"/>
        </w:rPr>
        <w:t xml:space="preserve"> EUR</w:t>
      </w:r>
      <w:r w:rsidR="00766F07" w:rsidRPr="00543973">
        <w:rPr>
          <w:rFonts w:ascii="Times New Roman" w:hAnsi="Times New Roman" w:cs="Times New Roman"/>
          <w:sz w:val="24"/>
          <w:szCs w:val="24"/>
        </w:rPr>
        <w:t xml:space="preserve"> </w:t>
      </w:r>
      <w:r w:rsidR="000B6BCD" w:rsidRPr="00543973">
        <w:rPr>
          <w:rFonts w:ascii="Times New Roman" w:hAnsi="Times New Roman" w:cs="Times New Roman"/>
          <w:sz w:val="24"/>
          <w:szCs w:val="24"/>
        </w:rPr>
        <w:t>u kunskoj protuvrijednosti</w:t>
      </w:r>
      <w:r w:rsidR="003861DF" w:rsidRPr="00543973">
        <w:rPr>
          <w:rFonts w:ascii="Times New Roman" w:hAnsi="Times New Roman" w:cs="Times New Roman"/>
          <w:sz w:val="24"/>
          <w:szCs w:val="24"/>
        </w:rPr>
        <w:t>.</w:t>
      </w:r>
      <w:r w:rsidR="00AC61AC">
        <w:rPr>
          <w:rFonts w:ascii="Times New Roman" w:hAnsi="Times New Roman" w:cs="Times New Roman"/>
          <w:sz w:val="24"/>
          <w:szCs w:val="24"/>
        </w:rPr>
        <w:br/>
      </w:r>
    </w:p>
    <w:p w14:paraId="4573D6AE" w14:textId="39A0DEB2" w:rsidR="00766F07" w:rsidRPr="00CB49CF" w:rsidRDefault="00AC61AC" w:rsidP="003051B7">
      <w:pPr>
        <w:jc w:val="both"/>
        <w:rPr>
          <w:rFonts w:ascii="Times New Roman" w:hAnsi="Times New Roman" w:cs="Times New Roman"/>
          <w:sz w:val="24"/>
          <w:szCs w:val="24"/>
        </w:rPr>
      </w:pPr>
      <w:r w:rsidRPr="00CB49CF">
        <w:rPr>
          <w:rFonts w:ascii="Times New Roman" w:hAnsi="Times New Roman" w:cs="Times New Roman"/>
          <w:sz w:val="24"/>
          <w:szCs w:val="24"/>
        </w:rPr>
        <w:t>Najviša ukupna</w:t>
      </w:r>
      <w:r>
        <w:rPr>
          <w:rFonts w:ascii="Times New Roman" w:hAnsi="Times New Roman" w:cs="Times New Roman"/>
          <w:sz w:val="24"/>
          <w:szCs w:val="24"/>
        </w:rPr>
        <w:t xml:space="preserve"> vrijednost</w:t>
      </w:r>
      <w:r w:rsidRPr="00CB49CF">
        <w:rPr>
          <w:rFonts w:ascii="Times New Roman" w:hAnsi="Times New Roman" w:cs="Times New Roman"/>
          <w:sz w:val="24"/>
          <w:szCs w:val="24"/>
        </w:rPr>
        <w:t xml:space="preserve"> javne potpore iznosi </w:t>
      </w:r>
      <w:r>
        <w:rPr>
          <w:rFonts w:ascii="Times New Roman" w:hAnsi="Times New Roman" w:cs="Times New Roman"/>
          <w:b/>
          <w:sz w:val="24"/>
          <w:szCs w:val="24"/>
        </w:rPr>
        <w:t>75</w:t>
      </w:r>
      <w:r w:rsidRPr="00CB49CF">
        <w:rPr>
          <w:rFonts w:ascii="Times New Roman" w:hAnsi="Times New Roman" w:cs="Times New Roman"/>
          <w:b/>
          <w:sz w:val="24"/>
          <w:szCs w:val="24"/>
        </w:rPr>
        <w:t>.000 EUR</w:t>
      </w:r>
      <w:r w:rsidRPr="00CB49CF">
        <w:rPr>
          <w:rFonts w:ascii="Times New Roman" w:hAnsi="Times New Roman" w:cs="Times New Roman"/>
          <w:sz w:val="24"/>
          <w:szCs w:val="24"/>
        </w:rPr>
        <w:t xml:space="preserve"> u kunskoj protuvrijednosti.</w:t>
      </w:r>
      <w:r>
        <w:rPr>
          <w:rFonts w:ascii="Times New Roman" w:hAnsi="Times New Roman" w:cs="Times New Roman"/>
          <w:sz w:val="24"/>
          <w:szCs w:val="24"/>
        </w:rPr>
        <w:t xml:space="preserve"> </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9" w:history="1">
        <w:r w:rsidR="00CC5D89" w:rsidRPr="008A3502">
          <w:rPr>
            <w:rStyle w:val="Hyperlink"/>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lastRenderedPageBreak/>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ListParagraph"/>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ListParagraph"/>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ListParagraph"/>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65752DE4"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AD482F" w:rsidRPr="008A3502">
        <w:rPr>
          <w:rFonts w:ascii="Times New Roman" w:hAnsi="Times New Roman" w:cs="Times New Roman"/>
          <w:sz w:val="24"/>
          <w:szCs w:val="24"/>
        </w:rPr>
        <w:t xml:space="preserve"> </w:t>
      </w:r>
      <w:r w:rsidR="00300329">
        <w:rPr>
          <w:rFonts w:ascii="Times New Roman" w:hAnsi="Times New Roman" w:cs="Times New Roman"/>
          <w:sz w:val="24"/>
          <w:szCs w:val="24"/>
        </w:rPr>
        <w:t xml:space="preserve">2.1.1. </w:t>
      </w:r>
      <w:r w:rsidR="00300329" w:rsidRPr="00300329">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sidR="00300329">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ListParagraph"/>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7B8E62CA"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Najviša ukupn</w:t>
            </w:r>
            <w:r w:rsidR="00AC61AC">
              <w:rPr>
                <w:rFonts w:ascii="Times New Roman" w:hAnsi="Times New Roman" w:cs="Times New Roman"/>
                <w:sz w:val="24"/>
                <w:szCs w:val="24"/>
                <w:lang w:val="hr-HR"/>
              </w:rPr>
              <w:t>a vrijednost projekta iznosi  100</w:t>
            </w:r>
            <w:r>
              <w:rPr>
                <w:rFonts w:ascii="Times New Roman" w:hAnsi="Times New Roman" w:cs="Times New Roman"/>
                <w:sz w:val="24"/>
                <w:szCs w:val="24"/>
                <w:lang w:val="hr-HR"/>
              </w:rPr>
              <w:t xml:space="preserve">.000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Heading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Heading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Heading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569E9CC7"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tip operacije</w:t>
      </w:r>
      <w:r w:rsidR="001A7FF7">
        <w:rPr>
          <w:rFonts w:ascii="Times New Roman" w:eastAsia="Times New Roman" w:hAnsi="Times New Roman" w:cs="Times New Roman"/>
          <w:color w:val="000000"/>
          <w:sz w:val="24"/>
          <w:szCs w:val="24"/>
          <w:lang w:eastAsia="hr-HR"/>
        </w:rPr>
        <w:t xml:space="preserve"> </w:t>
      </w:r>
      <w:r w:rsidR="001A7FF7">
        <w:rPr>
          <w:rFonts w:ascii="Times New Roman" w:hAnsi="Times New Roman" w:cs="Times New Roman"/>
          <w:sz w:val="24"/>
          <w:szCs w:val="24"/>
        </w:rPr>
        <w:t xml:space="preserve">2.1.1. </w:t>
      </w:r>
      <w:r w:rsidR="001A7FF7" w:rsidRPr="00300329">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sidR="00497DB0" w:rsidRPr="008A3502">
        <w:rPr>
          <w:rFonts w:ascii="Times New Roman" w:eastAsia="Times New Roman" w:hAnsi="Times New Roman" w:cs="Times New Roman"/>
          <w:color w:val="000000"/>
          <w:sz w:val="24"/>
          <w:szCs w:val="24"/>
          <w:lang w:eastAsia="hr-HR"/>
        </w:rPr>
        <w:t xml:space="preserve"> 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5FF4D2AF"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 xml:space="preserve">unutar tipa operacije </w:t>
      </w:r>
      <w:r w:rsidR="001A7FF7">
        <w:rPr>
          <w:rFonts w:ascii="Times New Roman" w:hAnsi="Times New Roman" w:cs="Times New Roman"/>
          <w:sz w:val="24"/>
          <w:szCs w:val="24"/>
        </w:rPr>
        <w:t xml:space="preserve">2.1.1. </w:t>
      </w:r>
      <w:r w:rsidR="001A7FF7" w:rsidRPr="00300329">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sidR="001A7FF7">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w:t>
      </w:r>
      <w:r w:rsidR="00637B79" w:rsidRPr="008A3502">
        <w:rPr>
          <w:rFonts w:ascii="Times New Roman" w:eastAsia="Times New Roman" w:hAnsi="Times New Roman" w:cs="Times New Roman"/>
          <w:color w:val="000000"/>
          <w:sz w:val="24"/>
          <w:szCs w:val="24"/>
          <w:lang w:eastAsia="hr-HR"/>
        </w:rPr>
        <w:lastRenderedPageBreak/>
        <w:t xml:space="preserve">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 </w:t>
      </w:r>
      <w:r w:rsidR="001A7FF7">
        <w:rPr>
          <w:rFonts w:ascii="Times New Roman" w:hAnsi="Times New Roman" w:cs="Times New Roman"/>
          <w:sz w:val="24"/>
          <w:szCs w:val="24"/>
        </w:rPr>
        <w:t xml:space="preserve">2.1.1. </w:t>
      </w:r>
      <w:r w:rsidR="001A7FF7" w:rsidRPr="00300329">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1A7FF7">
        <w:rPr>
          <w:rFonts w:ascii="Times New Roman" w:eastAsia="Times New Roman" w:hAnsi="Times New Roman" w:cs="Times New Roman"/>
          <w:color w:val="000000"/>
          <w:sz w:val="24"/>
          <w:szCs w:val="24"/>
          <w:lang w:eastAsia="hr-HR"/>
        </w:rPr>
        <w:t xml:space="preserve">unutar tipa operacije </w:t>
      </w:r>
      <w:r w:rsidR="001A7FF7">
        <w:rPr>
          <w:rFonts w:ascii="Times New Roman" w:hAnsi="Times New Roman" w:cs="Times New Roman"/>
          <w:sz w:val="24"/>
          <w:szCs w:val="24"/>
        </w:rPr>
        <w:t xml:space="preserve">2.1.1. </w:t>
      </w:r>
      <w:r w:rsidR="001A7FF7" w:rsidRPr="00300329">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sidR="001A7FF7">
        <w:rPr>
          <w:rFonts w:ascii="Times New Roman" w:hAnsi="Times New Roman" w:cs="Times New Roman"/>
          <w:sz w:val="24"/>
          <w:szCs w:val="24"/>
        </w:rPr>
        <w:t>.</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Heading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FootnoteReferenc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200BEB40"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FootnoteReference"/>
          <w:rFonts w:ascii="Times New Roman" w:hAnsi="Times New Roman"/>
          <w:sz w:val="24"/>
          <w:szCs w:val="24"/>
        </w:rPr>
        <w:footnoteReference w:id="3"/>
      </w:r>
      <w:r w:rsidR="00FC331B">
        <w:rPr>
          <w:rFonts w:ascii="Times New Roman" w:hAnsi="Times New Roman" w:cs="Times New Roman"/>
          <w:sz w:val="24"/>
          <w:szCs w:val="24"/>
        </w:rPr>
        <w:t xml:space="preserve"> </w:t>
      </w:r>
      <w:r w:rsidR="003D1DF7">
        <w:rPr>
          <w:rStyle w:val="FootnoteReferenc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 xml:space="preserve">ozbiljne nesukladnosti (nositelj </w:t>
      </w:r>
      <w:r w:rsidR="00F6303C" w:rsidRPr="008A3502">
        <w:rPr>
          <w:rFonts w:ascii="Times New Roman" w:eastAsia="Times New Roman" w:hAnsi="Times New Roman" w:cs="Times New Roman"/>
          <w:sz w:val="24"/>
          <w:szCs w:val="24"/>
        </w:rPr>
        <w:lastRenderedPageBreak/>
        <w:t>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0" w:history="1">
        <w:r w:rsidR="00C2773C" w:rsidRPr="008A3502">
          <w:rPr>
            <w:rStyle w:val="Hyperlink"/>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121EFFE6" w14:textId="77777777" w:rsidR="001A7FF7" w:rsidRDefault="001A7FF7" w:rsidP="007C4785">
      <w:pPr>
        <w:shd w:val="clear" w:color="auto" w:fill="FFFFFF"/>
        <w:jc w:val="both"/>
        <w:rPr>
          <w:rFonts w:ascii="Times New Roman" w:hAnsi="Times New Roman" w:cs="Times New Roman"/>
          <w:sz w:val="24"/>
          <w:szCs w:val="24"/>
        </w:rPr>
      </w:pPr>
    </w:p>
    <w:p w14:paraId="4ADD1E56" w14:textId="77777777" w:rsidR="001A7FF7" w:rsidRDefault="001A7FF7" w:rsidP="007C4785">
      <w:pPr>
        <w:shd w:val="clear" w:color="auto" w:fill="FFFFFF"/>
        <w:jc w:val="both"/>
        <w:rPr>
          <w:rFonts w:ascii="Times New Roman" w:hAnsi="Times New Roman" w:cs="Times New Roman"/>
          <w:sz w:val="24"/>
          <w:szCs w:val="24"/>
        </w:rPr>
      </w:pPr>
    </w:p>
    <w:p w14:paraId="1FE19FC9" w14:textId="77777777" w:rsidR="001A7FF7" w:rsidRDefault="001A7FF7" w:rsidP="007C4785">
      <w:pPr>
        <w:shd w:val="clear" w:color="auto" w:fill="FFFFFF"/>
        <w:jc w:val="both"/>
        <w:rPr>
          <w:rFonts w:ascii="Times New Roman" w:hAnsi="Times New Roman" w:cs="Times New Roman"/>
          <w:sz w:val="24"/>
          <w:szCs w:val="24"/>
        </w:rPr>
      </w:pPr>
    </w:p>
    <w:p w14:paraId="14F4E62D" w14:textId="77777777" w:rsidR="001A7FF7" w:rsidRPr="008A3502" w:rsidRDefault="001A7FF7"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Heading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lastRenderedPageBreak/>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8A3502">
              <w:rPr>
                <w:rFonts w:ascii="Times New Roman" w:eastAsia="Times New Roman" w:hAnsi="Times New Roman" w:cs="Times New Roman"/>
                <w:sz w:val="24"/>
                <w:szCs w:val="24"/>
              </w:rPr>
              <w:t>Razdoblje provedbe projekta je najviše 24 mjeseca od datuma donošenja Odluke o dodjele sredstava,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TableGrid"/>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29027392" w14:textId="333FF5BB" w:rsidR="001309F1" w:rsidRPr="008A3502" w:rsidRDefault="00C71A1A" w:rsidP="00062884">
      <w:pPr>
        <w:pStyle w:val="Heading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Heading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68"/>
        <w:gridCol w:w="1134"/>
        <w:gridCol w:w="7229"/>
      </w:tblGrid>
      <w:tr w:rsidR="00E00873" w:rsidRPr="008A3502" w14:paraId="38AB657F" w14:textId="77777777" w:rsidTr="00FC331B">
        <w:trPr>
          <w:trHeight w:val="480"/>
        </w:trPr>
        <w:tc>
          <w:tcPr>
            <w:tcW w:w="1168"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229"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CB49CF" w:rsidRDefault="00E00873" w:rsidP="00EB1E48">
            <w:pPr>
              <w:spacing w:line="276" w:lineRule="auto"/>
              <w:rPr>
                <w:rFonts w:ascii="Times New Roman" w:eastAsia="Calibri" w:hAnsi="Times New Roman" w:cs="Times New Roman"/>
                <w:sz w:val="24"/>
                <w:szCs w:val="24"/>
                <w:lang w:eastAsia="ar-SA"/>
              </w:rPr>
            </w:pPr>
            <w:r w:rsidRPr="00CB49CF">
              <w:rPr>
                <w:rFonts w:ascii="Times New Roman" w:hAnsi="Times New Roman" w:cs="Times New Roman"/>
                <w:b/>
                <w:sz w:val="24"/>
                <w:szCs w:val="24"/>
              </w:rPr>
              <w:t>Prihvatljivi projekti</w:t>
            </w:r>
          </w:p>
        </w:tc>
      </w:tr>
      <w:tr w:rsidR="00E00873" w:rsidRPr="008A3502" w14:paraId="0E79F8EB" w14:textId="77777777" w:rsidTr="00FC331B">
        <w:trPr>
          <w:trHeight w:val="600"/>
        </w:trPr>
        <w:tc>
          <w:tcPr>
            <w:tcW w:w="1168"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134"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247C3ABA" w:rsidR="00E00873" w:rsidRPr="008A3502" w:rsidRDefault="001A7FF7" w:rsidP="00EB1E48">
            <w:pPr>
              <w:spacing w:line="276" w:lineRule="auto"/>
              <w:jc w:val="center"/>
              <w:rPr>
                <w:rFonts w:ascii="Times New Roman" w:hAnsi="Times New Roman" w:cs="Times New Roman"/>
                <w:b/>
                <w:bCs/>
                <w:color w:val="000000"/>
                <w:sz w:val="24"/>
                <w:szCs w:val="24"/>
                <w:lang w:eastAsia="hr-HR"/>
              </w:rPr>
            </w:pPr>
            <w:r w:rsidRPr="001A7FF7">
              <w:rPr>
                <w:rFonts w:ascii="Times New Roman" w:hAnsi="Times New Roman" w:cs="Times New Roman"/>
                <w:b/>
                <w:bCs/>
                <w:color w:val="000000"/>
                <w:sz w:val="24"/>
                <w:szCs w:val="24"/>
                <w:lang w:eastAsia="hr-HR"/>
              </w:rPr>
              <w:t>2.1.1. „Ulaganja u pokretanje, poboljšanje ili proširenje lokalnih temeljnih usluga za ruralno stanovništvo, uključujući slobodno vrijeme i kulturne aktivnosti te povezanu infrastrukturu“</w:t>
            </w:r>
          </w:p>
        </w:tc>
        <w:tc>
          <w:tcPr>
            <w:tcW w:w="7229" w:type="dxa"/>
            <w:vMerge w:val="restart"/>
            <w:tcBorders>
              <w:top w:val="single" w:sz="12" w:space="0" w:color="auto"/>
              <w:left w:val="nil"/>
              <w:bottom w:val="single" w:sz="12" w:space="0" w:color="auto"/>
              <w:right w:val="single" w:sz="12" w:space="0" w:color="auto"/>
            </w:tcBorders>
            <w:hideMark/>
          </w:tcPr>
          <w:p w14:paraId="6EE8DFFE" w14:textId="3011DE7C"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vatrogasni dom i spremište</w:t>
            </w:r>
          </w:p>
          <w:p w14:paraId="76E6114D" w14:textId="77777777"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društveni dom/kulturni centar</w:t>
            </w:r>
          </w:p>
          <w:p w14:paraId="7332A4E4" w14:textId="77777777"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planinarski dom i sklonište</w:t>
            </w:r>
          </w:p>
          <w:p w14:paraId="78ECAAA6" w14:textId="77777777"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turistički informativni centar</w:t>
            </w:r>
          </w:p>
          <w:p w14:paraId="2A5B8AD5" w14:textId="7FA3C2D0"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dječj</w:t>
            </w:r>
            <w:r w:rsidR="00E7488D" w:rsidRPr="00385E1D">
              <w:rPr>
                <w:rFonts w:ascii="Times New Roman" w:eastAsia="Calibri" w:hAnsi="Times New Roman" w:cs="Times New Roman"/>
                <w:sz w:val="24"/>
                <w:szCs w:val="24"/>
                <w:lang w:eastAsia="ar-SA"/>
              </w:rPr>
              <w:t>e</w:t>
            </w:r>
            <w:r w:rsidRPr="00385E1D">
              <w:rPr>
                <w:rFonts w:ascii="Times New Roman" w:eastAsia="Calibri" w:hAnsi="Times New Roman" w:cs="Times New Roman"/>
                <w:sz w:val="24"/>
                <w:szCs w:val="24"/>
                <w:lang w:eastAsia="ar-SA"/>
              </w:rPr>
              <w:t xml:space="preserve"> igrališt</w:t>
            </w:r>
            <w:r w:rsidR="00C2773C" w:rsidRPr="00385E1D">
              <w:rPr>
                <w:rFonts w:ascii="Times New Roman" w:eastAsia="Calibri" w:hAnsi="Times New Roman" w:cs="Times New Roman"/>
                <w:sz w:val="24"/>
                <w:szCs w:val="24"/>
                <w:lang w:eastAsia="ar-SA"/>
              </w:rPr>
              <w:t>e</w:t>
            </w:r>
          </w:p>
          <w:p w14:paraId="14E9CFD8" w14:textId="48758FD0"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sportsk</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građevine</w:t>
            </w:r>
          </w:p>
          <w:p w14:paraId="68D7495D" w14:textId="71BEF2FC"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objekt za slatkovodni sportski ribolov (ribički dom, nadstrešnica i drugo)</w:t>
            </w:r>
          </w:p>
          <w:p w14:paraId="262661F5" w14:textId="2DE48F02"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rekreacijsk</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zon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na rijekama i jezerima</w:t>
            </w:r>
          </w:p>
          <w:p w14:paraId="2988C06F" w14:textId="58D12BB8"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biciklističk</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staz</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(koja nije sastavni dio ceste)</w:t>
            </w:r>
          </w:p>
          <w:p w14:paraId="7E4B2049" w14:textId="386AB5CC"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tematski put i park</w:t>
            </w:r>
          </w:p>
          <w:p w14:paraId="55AA64A5" w14:textId="38DD23AE" w:rsidR="00AC387D" w:rsidRPr="00385E1D" w:rsidRDefault="00AC387D"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građevin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w:t>
            </w:r>
            <w:r w:rsidR="002B354E" w:rsidRPr="00385E1D">
              <w:rPr>
                <w:rFonts w:ascii="Times New Roman" w:eastAsia="Calibri" w:hAnsi="Times New Roman" w:cs="Times New Roman"/>
                <w:sz w:val="24"/>
                <w:szCs w:val="24"/>
                <w:lang w:eastAsia="ar-SA"/>
              </w:rPr>
              <w:t>mn</w:t>
            </w:r>
            <w:r w:rsidRPr="00385E1D">
              <w:rPr>
                <w:rFonts w:ascii="Times New Roman" w:eastAsia="Calibri" w:hAnsi="Times New Roman" w:cs="Times New Roman"/>
                <w:sz w:val="24"/>
                <w:szCs w:val="24"/>
                <w:lang w:eastAsia="ar-SA"/>
              </w:rPr>
              <w:t>udruzi te drugoj pravnoj osobi u kojima se provode kraći programi odgojno-obrazovnog rada s djecom rane i predškolske dobi)</w:t>
            </w:r>
          </w:p>
          <w:p w14:paraId="0155ECAD" w14:textId="7887B726"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javn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zelen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površin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(park i slično)</w:t>
            </w:r>
          </w:p>
          <w:p w14:paraId="58656CBB" w14:textId="74DA6D0C"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pješačk</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staz</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(koja nije sastavni dio ceste)</w:t>
            </w:r>
          </w:p>
          <w:p w14:paraId="46093181" w14:textId="2B4B5624"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pješačk</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zon</w:t>
            </w:r>
            <w:r w:rsidR="00E7488D" w:rsidRPr="00385E1D">
              <w:rPr>
                <w:rFonts w:ascii="Times New Roman" w:eastAsia="Calibri" w:hAnsi="Times New Roman" w:cs="Times New Roman"/>
                <w:sz w:val="24"/>
                <w:szCs w:val="24"/>
                <w:lang w:eastAsia="ar-SA"/>
              </w:rPr>
              <w:t>a</w:t>
            </w:r>
          </w:p>
          <w:p w14:paraId="69BCF28F" w14:textId="322CCD23"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otvoren</w:t>
            </w:r>
            <w:r w:rsidR="00E7488D" w:rsidRPr="00385E1D">
              <w:rPr>
                <w:rFonts w:ascii="Times New Roman" w:eastAsia="Calibri" w:hAnsi="Times New Roman" w:cs="Times New Roman"/>
                <w:sz w:val="24"/>
                <w:szCs w:val="24"/>
                <w:lang w:eastAsia="ar-SA"/>
              </w:rPr>
              <w:t>i</w:t>
            </w:r>
            <w:r w:rsidRPr="00385E1D">
              <w:rPr>
                <w:rFonts w:ascii="Times New Roman" w:eastAsia="Calibri" w:hAnsi="Times New Roman" w:cs="Times New Roman"/>
                <w:sz w:val="24"/>
                <w:szCs w:val="24"/>
                <w:lang w:eastAsia="ar-SA"/>
              </w:rPr>
              <w:t xml:space="preserve"> odvodn</w:t>
            </w:r>
            <w:r w:rsidR="00E7488D" w:rsidRPr="00385E1D">
              <w:rPr>
                <w:rFonts w:ascii="Times New Roman" w:eastAsia="Calibri" w:hAnsi="Times New Roman" w:cs="Times New Roman"/>
                <w:sz w:val="24"/>
                <w:szCs w:val="24"/>
                <w:lang w:eastAsia="ar-SA"/>
              </w:rPr>
              <w:t>i</w:t>
            </w:r>
            <w:r w:rsidRPr="00385E1D">
              <w:rPr>
                <w:rFonts w:ascii="Times New Roman" w:eastAsia="Calibri" w:hAnsi="Times New Roman" w:cs="Times New Roman"/>
                <w:sz w:val="24"/>
                <w:szCs w:val="24"/>
                <w:lang w:eastAsia="ar-SA"/>
              </w:rPr>
              <w:t xml:space="preserve"> kanal (koji nije sastavni dio ceste)</w:t>
            </w:r>
          </w:p>
          <w:p w14:paraId="10B249D8" w14:textId="63BEDCF7"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groblj</w:t>
            </w:r>
            <w:r w:rsidR="00E7488D" w:rsidRPr="00385E1D">
              <w:rPr>
                <w:rFonts w:ascii="Times New Roman" w:eastAsia="Calibri" w:hAnsi="Times New Roman" w:cs="Times New Roman"/>
                <w:sz w:val="24"/>
                <w:szCs w:val="24"/>
                <w:lang w:eastAsia="ar-SA"/>
              </w:rPr>
              <w:t>e</w:t>
            </w:r>
            <w:r w:rsidRPr="00385E1D">
              <w:rPr>
                <w:rFonts w:ascii="Times New Roman" w:eastAsia="Calibri" w:hAnsi="Times New Roman" w:cs="Times New Roman"/>
                <w:sz w:val="24"/>
                <w:szCs w:val="24"/>
                <w:lang w:eastAsia="ar-SA"/>
              </w:rPr>
              <w:t xml:space="preserve"> (komunalna infrastruktura i prateće građevine)</w:t>
            </w:r>
          </w:p>
          <w:p w14:paraId="22C79A8B" w14:textId="2CA06A11" w:rsidR="00E00873" w:rsidRPr="00385E1D" w:rsidRDefault="00E00873" w:rsidP="00A42DB9">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tržnic</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w:t>
            </w:r>
          </w:p>
          <w:p w14:paraId="19D4A992" w14:textId="3317EF09" w:rsidR="00A42DB9" w:rsidRPr="00543973" w:rsidRDefault="00E00873" w:rsidP="00543973">
            <w:pPr>
              <w:pStyle w:val="ListParagraph"/>
              <w:numPr>
                <w:ilvl w:val="0"/>
                <w:numId w:val="3"/>
              </w:numPr>
              <w:ind w:left="459" w:hanging="426"/>
              <w:jc w:val="both"/>
              <w:rPr>
                <w:rFonts w:ascii="Times New Roman" w:eastAsia="Calibri" w:hAnsi="Times New Roman" w:cs="Times New Roman"/>
                <w:sz w:val="24"/>
                <w:szCs w:val="24"/>
                <w:lang w:eastAsia="ar-SA"/>
              </w:rPr>
            </w:pPr>
            <w:r w:rsidRPr="00385E1D">
              <w:rPr>
                <w:rFonts w:ascii="Times New Roman" w:eastAsia="Calibri" w:hAnsi="Times New Roman" w:cs="Times New Roman"/>
                <w:sz w:val="24"/>
                <w:szCs w:val="24"/>
                <w:lang w:eastAsia="ar-SA"/>
              </w:rPr>
              <w:t>javn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prometn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površin</w:t>
            </w:r>
            <w:r w:rsidR="00E7488D" w:rsidRPr="00385E1D">
              <w:rPr>
                <w:rFonts w:ascii="Times New Roman" w:eastAsia="Calibri" w:hAnsi="Times New Roman" w:cs="Times New Roman"/>
                <w:sz w:val="24"/>
                <w:szCs w:val="24"/>
                <w:lang w:eastAsia="ar-SA"/>
              </w:rPr>
              <w:t>a</w:t>
            </w:r>
            <w:r w:rsidRPr="00385E1D">
              <w:rPr>
                <w:rFonts w:ascii="Times New Roman" w:eastAsia="Calibri" w:hAnsi="Times New Roman" w:cs="Times New Roman"/>
                <w:sz w:val="24"/>
                <w:szCs w:val="24"/>
                <w:lang w:eastAsia="ar-SA"/>
              </w:rPr>
              <w:t xml:space="preserve"> (trg, pothodnik, nadvožnjak, javne stube i prolaz koji nisu sastavni dio ceste)</w:t>
            </w:r>
          </w:p>
        </w:tc>
      </w:tr>
      <w:tr w:rsidR="00E00873" w:rsidRPr="008A3502" w14:paraId="22C94462" w14:textId="77777777" w:rsidTr="00FC331B">
        <w:trPr>
          <w:trHeight w:val="768"/>
        </w:trPr>
        <w:tc>
          <w:tcPr>
            <w:tcW w:w="1168"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134"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229"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46E4A1D3" w14:textId="77777777" w:rsidR="00062884" w:rsidRPr="008A3502" w:rsidRDefault="00062884" w:rsidP="00062884">
      <w:pPr>
        <w:pStyle w:val="Heading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lastRenderedPageBreak/>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lastRenderedPageBreak/>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TableGrid"/>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Heading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ListParagraph"/>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ListParagraph"/>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ListParagraph"/>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lastRenderedPageBreak/>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Heading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w:t>
      </w:r>
      <w:r w:rsidR="00ED79F8" w:rsidRPr="007B18A3">
        <w:rPr>
          <w:rFonts w:ascii="Times New Roman" w:hAnsi="Times New Roman" w:cs="Times New Roman"/>
          <w:sz w:val="24"/>
          <w:szCs w:val="24"/>
        </w:rPr>
        <w:lastRenderedPageBreak/>
        <w:t>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Heading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2CB5C990" w14:textId="77777777" w:rsidR="00727B3A" w:rsidRDefault="00727B3A" w:rsidP="0044531B">
      <w:pPr>
        <w:shd w:val="clear" w:color="auto" w:fill="FFFFFF"/>
        <w:spacing w:before="120"/>
        <w:jc w:val="both"/>
        <w:rPr>
          <w:rFonts w:ascii="Times New Roman" w:hAnsi="Times New Roman" w:cs="Times New Roman"/>
          <w:sz w:val="24"/>
          <w:szCs w:val="24"/>
        </w:rPr>
      </w:pPr>
    </w:p>
    <w:p w14:paraId="55026729" w14:textId="77777777" w:rsidR="00727B3A" w:rsidRDefault="00727B3A" w:rsidP="0044531B">
      <w:pPr>
        <w:shd w:val="clear" w:color="auto" w:fill="FFFFFF"/>
        <w:spacing w:before="120"/>
        <w:jc w:val="both"/>
        <w:rPr>
          <w:rFonts w:ascii="Times New Roman" w:hAnsi="Times New Roman" w:cs="Times New Roman"/>
          <w:sz w:val="24"/>
          <w:szCs w:val="24"/>
        </w:rPr>
      </w:pPr>
    </w:p>
    <w:p w14:paraId="583C8588" w14:textId="77777777" w:rsidR="00727B3A" w:rsidRDefault="00727B3A" w:rsidP="0044531B">
      <w:pPr>
        <w:shd w:val="clear" w:color="auto" w:fill="FFFFFF"/>
        <w:spacing w:before="120"/>
        <w:jc w:val="both"/>
        <w:rPr>
          <w:rFonts w:ascii="Times New Roman" w:hAnsi="Times New Roman" w:cs="Times New Roman"/>
          <w:sz w:val="24"/>
          <w:szCs w:val="24"/>
        </w:rPr>
      </w:pPr>
    </w:p>
    <w:p w14:paraId="24DB92FE" w14:textId="77777777" w:rsidR="00727B3A" w:rsidRDefault="00727B3A" w:rsidP="0044531B">
      <w:pPr>
        <w:shd w:val="clear" w:color="auto" w:fill="FFFFFF"/>
        <w:spacing w:before="120"/>
        <w:jc w:val="both"/>
        <w:rPr>
          <w:rFonts w:ascii="Times New Roman" w:hAnsi="Times New Roman" w:cs="Times New Roman"/>
          <w:sz w:val="24"/>
          <w:szCs w:val="24"/>
        </w:rPr>
      </w:pPr>
    </w:p>
    <w:p w14:paraId="16A2D2EC" w14:textId="77777777" w:rsidR="00727B3A" w:rsidRDefault="00727B3A" w:rsidP="0044531B">
      <w:pPr>
        <w:shd w:val="clear" w:color="auto" w:fill="FFFFFF"/>
        <w:spacing w:before="120"/>
        <w:jc w:val="both"/>
        <w:rPr>
          <w:rFonts w:ascii="Times New Roman" w:hAnsi="Times New Roman" w:cs="Times New Roman"/>
          <w:sz w:val="24"/>
          <w:szCs w:val="24"/>
        </w:rPr>
      </w:pPr>
    </w:p>
    <w:p w14:paraId="7F82677F" w14:textId="77777777" w:rsidR="00727B3A" w:rsidRDefault="00727B3A" w:rsidP="0044531B">
      <w:pPr>
        <w:shd w:val="clear" w:color="auto" w:fill="FFFFFF"/>
        <w:spacing w:before="120"/>
        <w:jc w:val="both"/>
        <w:rPr>
          <w:rFonts w:ascii="Times New Roman" w:hAnsi="Times New Roman" w:cs="Times New Roman"/>
          <w:sz w:val="24"/>
          <w:szCs w:val="24"/>
        </w:rPr>
      </w:pPr>
    </w:p>
    <w:p w14:paraId="1EFDB730" w14:textId="77777777" w:rsidR="00FC331B" w:rsidRDefault="00FC331B" w:rsidP="0044531B">
      <w:pPr>
        <w:shd w:val="clear" w:color="auto" w:fill="FFFFFF"/>
        <w:spacing w:before="120"/>
        <w:jc w:val="both"/>
        <w:rPr>
          <w:rFonts w:ascii="Times New Roman" w:hAnsi="Times New Roman" w:cs="Times New Roman"/>
          <w:sz w:val="24"/>
          <w:szCs w:val="24"/>
        </w:rPr>
      </w:pPr>
    </w:p>
    <w:tbl>
      <w:tblPr>
        <w:tblW w:w="10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8626"/>
        <w:gridCol w:w="1170"/>
      </w:tblGrid>
      <w:tr w:rsidR="0048214C" w:rsidRPr="00C576F8" w14:paraId="739BBA22" w14:textId="77777777" w:rsidTr="0048214C">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0F734398" w14:textId="14081CE8" w:rsidR="0048214C" w:rsidRPr="00FC331B" w:rsidRDefault="0048214C" w:rsidP="00FC331B">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lastRenderedPageBreak/>
              <w:t xml:space="preserve">KRITERIJI ODABIRA TIP OPERACIJE </w:t>
            </w:r>
            <w:r w:rsidR="00FC331B">
              <w:rPr>
                <w:rFonts w:ascii="Times New Roman" w:eastAsia="Times New Roman" w:hAnsi="Times New Roman" w:cs="Times New Roman"/>
                <w:b/>
                <w:bCs/>
                <w:sz w:val="24"/>
                <w:szCs w:val="24"/>
              </w:rPr>
              <w:t>2.2.1.</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53F4DBA9" w14:textId="77777777" w:rsidR="0048214C" w:rsidRPr="00FC331B" w:rsidRDefault="0048214C" w:rsidP="0048214C">
            <w:pPr>
              <w:rPr>
                <w:rFonts w:ascii="Times New Roman" w:eastAsia="Times New Roman" w:hAnsi="Times New Roman" w:cs="Times New Roman"/>
                <w:sz w:val="24"/>
                <w:szCs w:val="24"/>
              </w:rPr>
            </w:pPr>
          </w:p>
        </w:tc>
      </w:tr>
      <w:tr w:rsidR="0048214C" w:rsidRPr="00C576F8" w14:paraId="5C67C2D6" w14:textId="77777777" w:rsidTr="00CB49CF">
        <w:trPr>
          <w:trHeight w:val="471"/>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14:paraId="38409F17"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14:paraId="22240F32"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Bodovi</w:t>
            </w:r>
          </w:p>
        </w:tc>
      </w:tr>
      <w:tr w:rsidR="0048214C" w:rsidRPr="00C576F8" w14:paraId="79E2BE4A"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13AA6522"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w:t>
            </w: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0AF69795"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3121D485" w14:textId="260C3D1D" w:rsidR="0048214C" w:rsidRPr="00FC331B" w:rsidRDefault="00F85584"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48214C" w:rsidRPr="00FC331B">
              <w:rPr>
                <w:rFonts w:ascii="Times New Roman" w:eastAsia="Times New Roman" w:hAnsi="Times New Roman" w:cs="Times New Roman"/>
                <w:b/>
                <w:bCs/>
                <w:sz w:val="24"/>
                <w:szCs w:val="24"/>
              </w:rPr>
              <w:t>ax. 20</w:t>
            </w:r>
          </w:p>
        </w:tc>
      </w:tr>
      <w:tr w:rsidR="0048214C" w:rsidRPr="00C576F8" w14:paraId="5FABD9FB" w14:textId="77777777" w:rsidTr="005D0E3B">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0AAB2422" w14:textId="77777777" w:rsidR="0048214C" w:rsidRPr="005D0E3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295DA95" w14:textId="05906475" w:rsidR="0048214C" w:rsidRPr="00727B3A" w:rsidRDefault="005D0E3B" w:rsidP="005D0E3B">
            <w:pPr>
              <w:pStyle w:val="Default"/>
              <w:rPr>
                <w:rFonts w:ascii="Times New Roman" w:eastAsia="Times New Roman" w:hAnsi="Times New Roman" w:cs="Times New Roman"/>
              </w:rPr>
            </w:pPr>
            <w:r w:rsidRPr="00727B3A">
              <w:rPr>
                <w:rFonts w:ascii="Times New Roman" w:hAnsi="Times New Roman" w:cs="Times New Roman"/>
              </w:rPr>
              <w:t>Jedinice lokalne samouprave iz 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9EF62BE" w14:textId="78DB782E" w:rsidR="0048214C"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8214C" w:rsidRPr="00C576F8" w14:paraId="23C99924" w14:textId="77777777" w:rsidTr="005D0E3B">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5ED64C8C" w14:textId="77777777" w:rsidR="0048214C" w:rsidRPr="005D0E3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5D0458F2" w14:textId="77777777" w:rsidR="005D0E3B" w:rsidRPr="00727B3A" w:rsidRDefault="005D0E3B" w:rsidP="005D0E3B">
            <w:pPr>
              <w:pStyle w:val="Default"/>
              <w:rPr>
                <w:rFonts w:ascii="Times New Roman" w:hAnsi="Times New Roman" w:cs="Times New Roman"/>
              </w:rPr>
            </w:pPr>
            <w:r w:rsidRPr="00727B3A">
              <w:rPr>
                <w:rFonts w:ascii="Times New Roman" w:hAnsi="Times New Roman" w:cs="Times New Roman"/>
              </w:rPr>
              <w:t xml:space="preserve">Jedinice lokalne samouprave iz II. skupine iz Odluke o razvrstavanju </w:t>
            </w:r>
          </w:p>
          <w:p w14:paraId="5E4372F2" w14:textId="6779911B" w:rsidR="0048214C" w:rsidRPr="00727B3A" w:rsidRDefault="0048214C" w:rsidP="0048214C">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5C9D90D1" w14:textId="169E7589" w:rsidR="0048214C"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8214C" w:rsidRPr="00C576F8" w14:paraId="4967FE5C"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0804AD2F" w14:textId="77777777" w:rsidR="0048214C" w:rsidRPr="005D0E3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327482D0" w14:textId="77777777" w:rsidR="005D0E3B" w:rsidRPr="00727B3A" w:rsidRDefault="005D0E3B" w:rsidP="005D0E3B">
            <w:pPr>
              <w:pStyle w:val="Default"/>
              <w:rPr>
                <w:rFonts w:ascii="Times New Roman" w:hAnsi="Times New Roman" w:cs="Times New Roman"/>
              </w:rPr>
            </w:pPr>
            <w:r w:rsidRPr="00727B3A">
              <w:rPr>
                <w:rFonts w:ascii="Times New Roman" w:hAnsi="Times New Roman" w:cs="Times New Roman"/>
              </w:rPr>
              <w:t xml:space="preserve">Jedinice lokalne samouprave iz III. skupine iz Odluke o razvrstavanju </w:t>
            </w:r>
          </w:p>
          <w:p w14:paraId="367492E8" w14:textId="3DC096B2" w:rsidR="0048214C" w:rsidRPr="00727B3A" w:rsidRDefault="0048214C" w:rsidP="0048214C">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313495EA" w14:textId="580FCB88" w:rsidR="0048214C"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8214C" w:rsidRPr="00C576F8" w14:paraId="0192DB71" w14:textId="77777777" w:rsidTr="005D0E3B">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14:paraId="3595ECC9" w14:textId="77777777" w:rsidR="0048214C" w:rsidRPr="005D0E3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53A99AEF" w14:textId="68DE2171" w:rsidR="0048214C" w:rsidRPr="00727B3A" w:rsidRDefault="005D0E3B" w:rsidP="00727B3A">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 xml:space="preserve">Jedinice lokalne samouprave iz IV. skupine iz Odluke o razvrstavanju </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CA99A58" w14:textId="70FFF42C" w:rsidR="0048214C"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D0E3B" w:rsidRPr="00C576F8" w14:paraId="5AC42F96" w14:textId="77777777" w:rsidTr="00FC331B">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0663EDB" w14:textId="77777777" w:rsidR="005D0E3B" w:rsidRPr="005D0E3B" w:rsidRDefault="005D0E3B"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6E9F25B" w14:textId="38037B21" w:rsidR="005D0E3B" w:rsidRPr="00727B3A" w:rsidRDefault="005D0E3B" w:rsidP="005D0E3B">
            <w:pPr>
              <w:pStyle w:val="Default"/>
              <w:rPr>
                <w:rFonts w:ascii="Times New Roman" w:hAnsi="Times New Roman" w:cs="Times New Roman"/>
              </w:rPr>
            </w:pPr>
            <w:r w:rsidRPr="00727B3A">
              <w:rPr>
                <w:rFonts w:ascii="Times New Roman" w:hAnsi="Times New Roman" w:cs="Times New Roman"/>
              </w:rPr>
              <w:t xml:space="preserve">Jedinice lokalne samouprave iz VI. skupine iz Odluke o razvrstavanju </w:t>
            </w:r>
          </w:p>
          <w:p w14:paraId="4D863465" w14:textId="77777777" w:rsidR="005D0E3B" w:rsidRPr="00727B3A" w:rsidRDefault="005D0E3B" w:rsidP="0048214C">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094E28E" w14:textId="3178D647" w:rsidR="005D0E3B"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D0E3B" w:rsidRPr="00C576F8" w14:paraId="12B2DB71" w14:textId="77777777" w:rsidTr="00FC331B">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852FE56" w14:textId="77777777" w:rsidR="005D0E3B" w:rsidRPr="005D0E3B" w:rsidRDefault="005D0E3B"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2F427F3" w14:textId="16CDD0FF" w:rsidR="005D0E3B" w:rsidRPr="00727B3A" w:rsidRDefault="005D0E3B" w:rsidP="0048214C">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Jedinice lokalne samouprave iz VIII.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BAD4EC0" w14:textId="26E00A1D" w:rsidR="005D0E3B" w:rsidRPr="00FC331B" w:rsidRDefault="005D0E3B"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214C" w:rsidRPr="00C576F8" w14:paraId="2856483E"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79F93DBD"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w:t>
            </w: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69C264A2" w14:textId="77777777" w:rsidR="0048214C" w:rsidRPr="00FC331B" w:rsidRDefault="0048214C" w:rsidP="0048214C">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Tip ulaganja/prioritetno ulaganje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619B92A9" w14:textId="77777777" w:rsidR="0048214C" w:rsidRPr="00F85584" w:rsidRDefault="0048214C" w:rsidP="0048214C">
            <w:pPr>
              <w:spacing w:after="150"/>
              <w:rPr>
                <w:rFonts w:ascii="Times New Roman" w:eastAsia="Times New Roman" w:hAnsi="Times New Roman" w:cs="Times New Roman"/>
                <w:b/>
                <w:sz w:val="24"/>
                <w:szCs w:val="24"/>
              </w:rPr>
            </w:pPr>
            <w:r w:rsidRPr="00F85584">
              <w:rPr>
                <w:rFonts w:ascii="Times New Roman" w:eastAsia="Times New Roman" w:hAnsi="Times New Roman" w:cs="Times New Roman"/>
                <w:b/>
                <w:sz w:val="24"/>
                <w:szCs w:val="24"/>
              </w:rPr>
              <w:t>max. 20</w:t>
            </w:r>
          </w:p>
        </w:tc>
      </w:tr>
      <w:tr w:rsidR="0048214C" w:rsidRPr="00C576F8" w14:paraId="450F8372"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111E4D1D" w14:textId="77777777" w:rsidR="0048214C" w:rsidRPr="00FC331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52811C2A"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rekonstrukciju (sa ili bez opremanja)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E224DCD"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48214C" w:rsidRPr="00C576F8" w14:paraId="1D19E545"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7F327B4F" w14:textId="77777777" w:rsidR="0048214C" w:rsidRPr="00FC331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4EB1902B"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 i opremanje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0CF48EE0"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10</w:t>
            </w:r>
          </w:p>
        </w:tc>
      </w:tr>
      <w:tr w:rsidR="0048214C" w:rsidRPr="00C576F8" w14:paraId="1B12A0F8"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57D3CE5" w14:textId="77777777" w:rsidR="0048214C" w:rsidRPr="00FC331B" w:rsidRDefault="0048214C" w:rsidP="0048214C">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095D2D7"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EC65E0A"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5</w:t>
            </w:r>
          </w:p>
        </w:tc>
      </w:tr>
      <w:tr w:rsidR="0048214C" w:rsidRPr="00C576F8" w14:paraId="48C8BDD4"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34B5FCF9" w14:textId="77777777" w:rsidR="0048214C" w:rsidRPr="00FC331B" w:rsidRDefault="0048214C" w:rsidP="0048214C">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3</w:t>
            </w: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44B69CBF" w14:textId="77777777" w:rsidR="0048214C" w:rsidRPr="00FC331B" w:rsidRDefault="0048214C" w:rsidP="0048214C">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Ulaganje doprinosi stvaranju novih radnih mjesta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2CA81F62" w14:textId="77777777" w:rsidR="0048214C" w:rsidRPr="00F85584" w:rsidRDefault="0048214C" w:rsidP="0048214C">
            <w:pPr>
              <w:spacing w:after="150"/>
              <w:rPr>
                <w:rFonts w:ascii="Times New Roman" w:eastAsia="Times New Roman" w:hAnsi="Times New Roman" w:cs="Times New Roman"/>
                <w:b/>
                <w:sz w:val="24"/>
                <w:szCs w:val="24"/>
              </w:rPr>
            </w:pPr>
            <w:r w:rsidRPr="00F85584">
              <w:rPr>
                <w:rFonts w:ascii="Times New Roman" w:eastAsia="Times New Roman" w:hAnsi="Times New Roman" w:cs="Times New Roman"/>
                <w:b/>
                <w:sz w:val="24"/>
                <w:szCs w:val="24"/>
              </w:rPr>
              <w:t>10</w:t>
            </w:r>
          </w:p>
        </w:tc>
      </w:tr>
      <w:tr w:rsidR="0048214C" w:rsidRPr="00C576F8" w14:paraId="28A0A113"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582755F1" w14:textId="77777777" w:rsidR="0048214C" w:rsidRPr="00FC331B" w:rsidRDefault="0048214C" w:rsidP="0048214C">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4</w:t>
            </w: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818D5EA" w14:textId="77777777" w:rsidR="0048214C" w:rsidRPr="00FC331B" w:rsidRDefault="0048214C" w:rsidP="0048214C">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Doprinos kvaliteti života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BD36A44" w14:textId="068F43BB" w:rsidR="0048214C" w:rsidRPr="00F85584" w:rsidRDefault="00F85584" w:rsidP="0048214C">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20</w:t>
            </w:r>
          </w:p>
        </w:tc>
      </w:tr>
      <w:tr w:rsidR="0048214C" w:rsidRPr="00C576F8" w14:paraId="5E45CC7C"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35501ECF" w14:textId="77777777" w:rsidR="0048214C" w:rsidRPr="00FC331B" w:rsidRDefault="0048214C" w:rsidP="0048214C">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5DBABAEC"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 xml:space="preserve">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5FA1D3C3"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48214C" w:rsidRPr="00C576F8" w14:paraId="01691160"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36C2996C" w14:textId="77777777" w:rsidR="0048214C" w:rsidRPr="00FC331B" w:rsidRDefault="0048214C" w:rsidP="0048214C">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14:paraId="62849F0C"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14D66EE5"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15</w:t>
            </w:r>
          </w:p>
        </w:tc>
      </w:tr>
      <w:tr w:rsidR="0048214C" w:rsidRPr="00C576F8" w14:paraId="10DA7653"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6CC3C9C"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543DF102"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Ulaganje u multifunkcionalnu društvenu infrastrukturu za javnu uporabu kojom se koristi više od četiri interesnih skupina (društven domovi, kulturni centri, vatrogasni domovi i spremišta, planinarski domovi i skloništa, sportske građevine, objekti za slatkovodni ribolov) kojim upravlja udruga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753B1D7"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10</w:t>
            </w:r>
          </w:p>
        </w:tc>
      </w:tr>
      <w:tr w:rsidR="0048214C" w:rsidRPr="00C576F8" w14:paraId="5A15AB65"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7FA133D"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5</w:t>
            </w: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FC0D0C5"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315E597"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10</w:t>
            </w:r>
          </w:p>
        </w:tc>
      </w:tr>
      <w:tr w:rsidR="0048214C" w:rsidRPr="00C576F8" w14:paraId="48D6BB8B"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C5D1DDB"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B4F1E11"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55416544"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48214C" w:rsidRPr="00C576F8" w14:paraId="3BFB380D"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0E5952A"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32986C03"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1C747D64"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48214C" w:rsidRPr="00C576F8" w14:paraId="3C0D41D3"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FA21295"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6</w:t>
            </w: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7AF9905"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Doprninos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68E4C2E"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5</w:t>
            </w:r>
          </w:p>
        </w:tc>
      </w:tr>
      <w:tr w:rsidR="0048214C" w:rsidRPr="00C576F8" w14:paraId="4B74570B"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3A30F92"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1993EAB"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F05C570"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48214C" w:rsidRPr="00C576F8" w14:paraId="1C51053F"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493C2207"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7</w:t>
            </w: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22F24900"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Razvoj usluga za prioritetne skupine korisnika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43E75267" w14:textId="77777777" w:rsidR="0048214C" w:rsidRPr="00FC331B" w:rsidRDefault="0048214C" w:rsidP="0048214C">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8</w:t>
            </w:r>
          </w:p>
        </w:tc>
      </w:tr>
      <w:tr w:rsidR="0048214C" w:rsidRPr="00C576F8" w14:paraId="3F0D0352"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6B4314D4"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7830C25"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djeci i / ili starijoj populaciji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4975961F"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48214C" w:rsidRPr="00C576F8" w14:paraId="1A2A3A8E" w14:textId="77777777" w:rsidTr="0048214C">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71453561" w14:textId="77777777" w:rsidR="0048214C" w:rsidRPr="00FC331B" w:rsidRDefault="0048214C" w:rsidP="0048214C">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071DCD37"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osim lokalnog stanovništva i turistima i posjetiteljima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14:paraId="1D567DF1" w14:textId="77777777" w:rsidR="0048214C" w:rsidRPr="00FC331B" w:rsidRDefault="0048214C" w:rsidP="0048214C">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3</w:t>
            </w:r>
          </w:p>
        </w:tc>
      </w:tr>
      <w:tr w:rsidR="0048214C" w:rsidRPr="00C576F8" w14:paraId="15310729" w14:textId="77777777" w:rsidTr="0048214C">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61150F4F"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14:paraId="7FF92C9A" w14:textId="6C955AB6" w:rsidR="0048214C" w:rsidRPr="00FC331B" w:rsidRDefault="00F85584" w:rsidP="0048214C">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w:t>
            </w:r>
          </w:p>
        </w:tc>
      </w:tr>
      <w:tr w:rsidR="0048214C" w:rsidRPr="00C576F8" w14:paraId="0E930DE8" w14:textId="77777777" w:rsidTr="00CB49CF">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14:paraId="14EC6313"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14:paraId="4BA185B3" w14:textId="77777777" w:rsidR="0048214C" w:rsidRPr="00FC331B" w:rsidRDefault="0048214C" w:rsidP="0048214C">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15</w:t>
            </w:r>
          </w:p>
        </w:tc>
      </w:tr>
    </w:tbl>
    <w:p w14:paraId="27CE864E" w14:textId="4DC3C422" w:rsidR="00007318" w:rsidRPr="008A3502" w:rsidRDefault="00007318" w:rsidP="0048214C">
      <w:pPr>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Heading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Heading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7A2A66FE"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w:t>
      </w:r>
      <w:r w:rsidR="0048214C">
        <w:rPr>
          <w:rFonts w:ascii="Times New Roman" w:hAnsi="Times New Roman" w:cs="Times New Roman"/>
          <w:sz w:val="24"/>
          <w:szCs w:val="24"/>
        </w:rPr>
        <w:t>isključivo preporučenom poštom</w:t>
      </w:r>
      <w:r w:rsidRPr="008A3502">
        <w:rPr>
          <w:rFonts w:ascii="Times New Roman" w:hAnsi="Times New Roman" w:cs="Times New Roman"/>
          <w:sz w:val="24"/>
          <w:szCs w:val="24"/>
        </w:rPr>
        <w:t xml:space="preserve"> od</w:t>
      </w:r>
      <w:r w:rsidR="0048214C">
        <w:rPr>
          <w:rFonts w:ascii="Times New Roman" w:hAnsi="Times New Roman" w:cs="Times New Roman"/>
          <w:sz w:val="24"/>
          <w:szCs w:val="24"/>
        </w:rPr>
        <w:t xml:space="preserve"> 01.01.2019.</w:t>
      </w:r>
      <w:r w:rsidRPr="008A3502">
        <w:rPr>
          <w:rFonts w:ascii="Times New Roman" w:hAnsi="Times New Roman" w:cs="Times New Roman"/>
          <w:sz w:val="24"/>
          <w:szCs w:val="24"/>
        </w:rPr>
        <w:t xml:space="preserve">, a najkasnije do </w:t>
      </w:r>
      <w:r w:rsidR="0048214C">
        <w:rPr>
          <w:rFonts w:ascii="Times New Roman" w:hAnsi="Times New Roman" w:cs="Times New Roman"/>
          <w:sz w:val="24"/>
          <w:szCs w:val="24"/>
        </w:rPr>
        <w:t xml:space="preserve">01.03.2019.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1A0D4A6D" w14:textId="77777777" w:rsidR="0048214C" w:rsidRPr="0048214C" w:rsidRDefault="0048214C" w:rsidP="0048214C">
      <w:pPr>
        <w:jc w:val="center"/>
        <w:rPr>
          <w:rFonts w:ascii="Times New Roman" w:hAnsi="Times New Roman" w:cs="Times New Roman"/>
          <w:b/>
          <w:sz w:val="24"/>
          <w:szCs w:val="24"/>
        </w:rPr>
      </w:pPr>
      <w:r w:rsidRPr="0048214C">
        <w:rPr>
          <w:rFonts w:ascii="Times New Roman" w:hAnsi="Times New Roman" w:cs="Times New Roman"/>
          <w:b/>
          <w:sz w:val="24"/>
          <w:szCs w:val="24"/>
        </w:rPr>
        <w:t>LAG „Zrinska gora - Turopolje“</w:t>
      </w:r>
    </w:p>
    <w:p w14:paraId="0AECEDC6" w14:textId="77777777" w:rsidR="0048214C" w:rsidRPr="0048214C" w:rsidRDefault="0048214C" w:rsidP="0048214C">
      <w:pPr>
        <w:jc w:val="center"/>
        <w:rPr>
          <w:rFonts w:ascii="Times New Roman" w:hAnsi="Times New Roman" w:cs="Times New Roman"/>
          <w:b/>
          <w:sz w:val="24"/>
          <w:szCs w:val="24"/>
        </w:rPr>
      </w:pPr>
      <w:r w:rsidRPr="0048214C">
        <w:rPr>
          <w:rFonts w:ascii="Times New Roman" w:hAnsi="Times New Roman" w:cs="Times New Roman"/>
          <w:b/>
          <w:sz w:val="24"/>
          <w:szCs w:val="24"/>
        </w:rPr>
        <w:t>Trg dr. Franje Tuđmana 10/2</w:t>
      </w:r>
    </w:p>
    <w:p w14:paraId="7BE452F9" w14:textId="3E6A84EB" w:rsidR="0003012E" w:rsidRPr="0048214C" w:rsidRDefault="0048214C" w:rsidP="0048214C">
      <w:pPr>
        <w:jc w:val="center"/>
        <w:rPr>
          <w:rFonts w:ascii="Times New Roman" w:hAnsi="Times New Roman" w:cs="Times New Roman"/>
          <w:b/>
          <w:sz w:val="24"/>
          <w:szCs w:val="24"/>
        </w:rPr>
      </w:pPr>
      <w:r w:rsidRPr="0048214C">
        <w:rPr>
          <w:rFonts w:ascii="Times New Roman" w:hAnsi="Times New Roman" w:cs="Times New Roman"/>
          <w:b/>
          <w:sz w:val="24"/>
          <w:szCs w:val="24"/>
        </w:rPr>
        <w:t>44250 Petrinja</w:t>
      </w:r>
    </w:p>
    <w:p w14:paraId="177A09DC" w14:textId="77777777" w:rsidR="0048214C" w:rsidRPr="008A3502" w:rsidRDefault="0048214C" w:rsidP="0048214C">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1F1C1A98" w:rsidR="00CA600D" w:rsidRPr="00B136C1" w:rsidRDefault="00CA600D" w:rsidP="00B136C1">
      <w:pPr>
        <w:pStyle w:val="ListParagraph"/>
        <w:numPr>
          <w:ilvl w:val="0"/>
          <w:numId w:val="11"/>
        </w:numPr>
        <w:jc w:val="both"/>
        <w:rPr>
          <w:rFonts w:ascii="Times New Roman" w:hAnsi="Times New Roman" w:cs="Times New Roman"/>
          <w:i/>
          <w:sz w:val="24"/>
          <w:szCs w:val="24"/>
          <w:highlight w:val="lightGray"/>
        </w:rPr>
      </w:pPr>
      <w:r w:rsidRPr="008A3502">
        <w:rPr>
          <w:rFonts w:ascii="Times New Roman" w:hAnsi="Times New Roman" w:cs="Times New Roman"/>
          <w:sz w:val="24"/>
          <w:szCs w:val="24"/>
        </w:rPr>
        <w:t>naziv ovog Natječaja</w:t>
      </w:r>
      <w:r w:rsidR="00B136C1">
        <w:rPr>
          <w:rFonts w:ascii="Times New Roman" w:hAnsi="Times New Roman" w:cs="Times New Roman"/>
          <w:sz w:val="24"/>
          <w:szCs w:val="24"/>
        </w:rPr>
        <w:t>:</w:t>
      </w:r>
      <w:r w:rsidRPr="00B136C1">
        <w:rPr>
          <w:rFonts w:ascii="Times New Roman" w:hAnsi="Times New Roman" w:cs="Times New Roman"/>
          <w:i/>
          <w:sz w:val="24"/>
          <w:szCs w:val="24"/>
        </w:rPr>
        <w:t xml:space="preserve"> </w:t>
      </w:r>
      <w:r w:rsidR="00B136C1" w:rsidRPr="00B136C1">
        <w:rPr>
          <w:rFonts w:ascii="Times New Roman" w:hAnsi="Times New Roman" w:cs="Times New Roman"/>
          <w:sz w:val="24"/>
          <w:szCs w:val="24"/>
        </w:rPr>
        <w:t>2.2.1. „Ulaganja u pokretanje, poboljšanje ili proširenje lokalnih temeljnih usluga za ruralno stanovništvo, uključujući slobodno vrijeme i kulturne aktivnosti te povezanu infrastrukturu“</w:t>
      </w:r>
    </w:p>
    <w:p w14:paraId="568B70A2" w14:textId="30A16583" w:rsidR="00D731DB" w:rsidRPr="008A3502" w:rsidRDefault="00CA600D" w:rsidP="002A5905">
      <w:pPr>
        <w:pStyle w:val="ListParagraph"/>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ListParagraph"/>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FootnoteReferenc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 xml:space="preserve">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Heading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4D15DE16"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B136C1">
        <w:rPr>
          <w:rFonts w:ascii="Times New Roman" w:hAnsi="Times New Roman" w:cs="Times New Roman"/>
          <w:sz w:val="24"/>
          <w:szCs w:val="24"/>
        </w:rPr>
        <w:t xml:space="preserve">02.01.2018. </w:t>
      </w:r>
      <w:r w:rsidRPr="008A3502">
        <w:rPr>
          <w:rFonts w:ascii="Times New Roman" w:hAnsi="Times New Roman" w:cs="Times New Roman"/>
          <w:sz w:val="24"/>
          <w:szCs w:val="24"/>
        </w:rPr>
        <w:t xml:space="preserve">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2331D533"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B136C1">
        <w:rPr>
          <w:rFonts w:ascii="Times New Roman" w:hAnsi="Times New Roman" w:cs="Times New Roman"/>
          <w:sz w:val="24"/>
          <w:szCs w:val="24"/>
        </w:rPr>
        <w:t xml:space="preserve">02.01.2018.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Heading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ListParagraph"/>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Heading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F943982"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r w:rsidR="00B136C1">
        <w:rPr>
          <w:rFonts w:ascii="Times New Roman" w:eastAsia="Calibri" w:hAnsi="Times New Roman" w:cs="Times New Roman"/>
          <w:color w:val="000000"/>
          <w:sz w:val="24"/>
          <w:szCs w:val="24"/>
        </w:rPr>
        <w:t>ured@lag-zrinskagora-turopolje.hr.</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lastRenderedPageBreak/>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B78EE0E"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 </w:t>
      </w:r>
      <w:r w:rsidR="00B136C1" w:rsidRPr="00E213B5">
        <w:rPr>
          <w:rFonts w:ascii="Times New Roman" w:hAnsi="Times New Roman"/>
          <w:sz w:val="24"/>
          <w:szCs w:val="24"/>
        </w:rPr>
        <w:t xml:space="preserve">www.lag-zrinskagora-turopolje.hr. </w:t>
      </w:r>
      <w:r w:rsidR="00B136C1" w:rsidRPr="001B6260">
        <w:rPr>
          <w:rFonts w:ascii="Times New Roman" w:hAnsi="Times New Roman"/>
          <w:sz w:val="24"/>
          <w:szCs w:val="24"/>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Heading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Heading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Heading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6D8E1D89"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136C1">
        <w:rPr>
          <w:rFonts w:ascii="Times New Roman" w:hAnsi="Times New Roman" w:cs="Times New Roman"/>
          <w:sz w:val="24"/>
          <w:szCs w:val="24"/>
        </w:rPr>
        <w:t>7</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CommentText"/>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CommentText"/>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Heading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Heading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532454FC" w14:textId="77777777" w:rsidR="005E24D1" w:rsidRPr="008A3502" w:rsidRDefault="005E24D1" w:rsidP="00B0370C">
      <w:pPr>
        <w:shd w:val="clear" w:color="auto" w:fill="FFFFFF" w:themeFill="background1"/>
        <w:spacing w:after="120"/>
        <w:jc w:val="both"/>
        <w:rPr>
          <w:rFonts w:ascii="Times New Roman" w:eastAsia="Times New Roman" w:hAnsi="Times New Roman" w:cs="Times New Roman"/>
          <w:sz w:val="24"/>
          <w:szCs w:val="24"/>
        </w:rPr>
      </w:pPr>
    </w:p>
    <w:p w14:paraId="08F72371" w14:textId="77777777" w:rsidR="005E24D1" w:rsidRPr="005E24D1" w:rsidRDefault="005E24D1" w:rsidP="005E24D1">
      <w:pPr>
        <w:shd w:val="clear" w:color="auto" w:fill="FFFFFF"/>
        <w:spacing w:after="120"/>
        <w:jc w:val="both"/>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lastRenderedPageBreak/>
        <w:t>1) kriterij ''Stupanj razvijenosti JLS-a u kojem se ulaganje provodi u skladu s indeksom</w:t>
      </w:r>
    </w:p>
    <w:p w14:paraId="0C174A8B" w14:textId="77777777" w:rsidR="005E24D1" w:rsidRPr="005E24D1" w:rsidRDefault="005E24D1" w:rsidP="005E24D1">
      <w:pPr>
        <w:shd w:val="clear" w:color="auto" w:fill="FFFFFF"/>
        <w:spacing w:after="120"/>
        <w:jc w:val="both"/>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t>razvijenosti''</w:t>
      </w:r>
    </w:p>
    <w:p w14:paraId="74937B94" w14:textId="77777777" w:rsidR="005E24D1" w:rsidRPr="005E24D1" w:rsidRDefault="005E24D1" w:rsidP="005E24D1">
      <w:pPr>
        <w:shd w:val="clear" w:color="auto" w:fill="FFFFFF"/>
        <w:spacing w:after="120"/>
        <w:jc w:val="both"/>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t>2) ostali pojedinačni kriteriji po redoslijedu u tablici kriterija odabira</w:t>
      </w:r>
    </w:p>
    <w:p w14:paraId="3F97DACA" w14:textId="5B39CAC2" w:rsidR="005E24D1" w:rsidRDefault="005E24D1" w:rsidP="005E24D1">
      <w:pPr>
        <w:shd w:val="clear" w:color="auto" w:fill="FFFFFF"/>
        <w:spacing w:after="120"/>
        <w:jc w:val="both"/>
        <w:rPr>
          <w:rFonts w:ascii="Times New Roman" w:eastAsia="Times New Roman" w:hAnsi="Times New Roman" w:cs="Times New Roman"/>
          <w:sz w:val="24"/>
          <w:szCs w:val="24"/>
          <w:highlight w:val="lightGray"/>
        </w:rPr>
      </w:pPr>
      <w:r w:rsidRPr="005E24D1">
        <w:rPr>
          <w:rFonts w:ascii="Times New Roman" w:eastAsia="Times New Roman" w:hAnsi="Times New Roman" w:cs="Times New Roman"/>
          <w:sz w:val="24"/>
          <w:szCs w:val="24"/>
        </w:rPr>
        <w:t>3) vrijeme podnošenja zahtjeva za potporu.</w:t>
      </w:r>
      <w:r>
        <w:rPr>
          <w:rFonts w:ascii="Times New Roman" w:eastAsia="Times New Roman" w:hAnsi="Times New Roman" w:cs="Times New Roman"/>
          <w:sz w:val="24"/>
          <w:szCs w:val="24"/>
        </w:rPr>
        <w:t xml:space="preserve"> </w:t>
      </w:r>
    </w:p>
    <w:p w14:paraId="240A0A25" w14:textId="79F4CE36" w:rsidR="00B278D3" w:rsidRPr="008A3502" w:rsidRDefault="00BB5A2F" w:rsidP="005E24D1">
      <w:pPr>
        <w:shd w:val="clear" w:color="auto" w:fill="FFFFFF"/>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Heading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ListParagraph"/>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ListParagraph"/>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F85584" w:rsidRDefault="00F85584"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F85584" w:rsidRPr="00697CCF" w:rsidRDefault="00F85584"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F85584" w:rsidRDefault="00F85584"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F85584" w:rsidRPr="00697CCF" w:rsidRDefault="00F85584"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Heading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49B28B22"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5E24D1">
        <w:rPr>
          <w:rFonts w:ascii="Times New Roman" w:eastAsia="Times New Roman" w:hAnsi="Times New Roman" w:cs="Times New Roman"/>
          <w:sz w:val="24"/>
          <w:szCs w:val="24"/>
        </w:rPr>
        <w:t>na adresu:</w:t>
      </w:r>
    </w:p>
    <w:p w14:paraId="2477F9F6" w14:textId="77777777" w:rsidR="005E24D1" w:rsidRDefault="005E24D1"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6F7BB80" w14:textId="77777777" w:rsidR="005E24D1" w:rsidRPr="005E24D1" w:rsidRDefault="005E24D1" w:rsidP="005E24D1">
      <w:pPr>
        <w:shd w:val="clear" w:color="auto" w:fill="FFFFFF" w:themeFill="background1"/>
        <w:tabs>
          <w:tab w:val="left" w:pos="3750"/>
        </w:tabs>
        <w:jc w:val="center"/>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t>LAG „Zrinska gora - Turopolje“</w:t>
      </w:r>
    </w:p>
    <w:p w14:paraId="48E109FF" w14:textId="77777777" w:rsidR="005E24D1" w:rsidRPr="005E24D1" w:rsidRDefault="005E24D1" w:rsidP="005E24D1">
      <w:pPr>
        <w:shd w:val="clear" w:color="auto" w:fill="FFFFFF" w:themeFill="background1"/>
        <w:tabs>
          <w:tab w:val="left" w:pos="3750"/>
        </w:tabs>
        <w:jc w:val="center"/>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t>Trg dr. Franje Tuđmana 10/2</w:t>
      </w:r>
    </w:p>
    <w:p w14:paraId="1A0B9728" w14:textId="7C495612" w:rsidR="005E24D1" w:rsidRPr="008A3502" w:rsidRDefault="005E24D1" w:rsidP="005E24D1">
      <w:pPr>
        <w:shd w:val="clear" w:color="auto" w:fill="FFFFFF" w:themeFill="background1"/>
        <w:tabs>
          <w:tab w:val="left" w:pos="3750"/>
        </w:tabs>
        <w:jc w:val="center"/>
        <w:rPr>
          <w:rFonts w:ascii="Times New Roman" w:eastAsia="Times New Roman" w:hAnsi="Times New Roman" w:cs="Times New Roman"/>
          <w:sz w:val="24"/>
          <w:szCs w:val="24"/>
        </w:rPr>
      </w:pPr>
      <w:r w:rsidRPr="005E24D1">
        <w:rPr>
          <w:rFonts w:ascii="Times New Roman" w:eastAsia="Times New Roman" w:hAnsi="Times New Roman" w:cs="Times New Roman"/>
          <w:sz w:val="24"/>
          <w:szCs w:val="24"/>
        </w:rPr>
        <w:t>44250 Petrinja</w:t>
      </w:r>
      <w:bookmarkStart w:id="89" w:name="_GoBack"/>
      <w:bookmarkEnd w:id="89"/>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ListParagraph"/>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Heading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F85584" w:rsidRDefault="00F85584"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F85584" w:rsidRPr="00554317" w:rsidRDefault="00F85584"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F85584" w:rsidRDefault="00F85584"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F85584" w:rsidRPr="00554317" w:rsidRDefault="00F85584"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F85584" w:rsidRDefault="00F85584"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85584" w:rsidRPr="00F76FED" w:rsidRDefault="00F85584"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F85584" w:rsidRDefault="00F85584"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85584" w:rsidRPr="00F76FED" w:rsidRDefault="00F85584"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Heading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54597858"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076ABC09" w14:textId="2EC324D8" w:rsidR="005E24D1" w:rsidRPr="00CB49CF" w:rsidRDefault="005E24D1" w:rsidP="00F370F1">
      <w:pPr>
        <w:ind w:right="-279"/>
        <w:jc w:val="both"/>
        <w:rPr>
          <w:rFonts w:ascii="Times New Roman" w:hAnsi="Times New Roman" w:cs="Times New Roman"/>
          <w:sz w:val="24"/>
          <w:szCs w:val="24"/>
        </w:rPr>
      </w:pPr>
      <w:r w:rsidRPr="00CB49CF">
        <w:rPr>
          <w:rFonts w:ascii="Times New Roman" w:hAnsi="Times New Roman" w:cs="Times New Roman"/>
          <w:sz w:val="24"/>
          <w:szCs w:val="24"/>
        </w:rPr>
        <w:t>Prilog IX. – Pojašnjenje kriterija odabira</w:t>
      </w:r>
    </w:p>
    <w:p w14:paraId="6B1BEADE" w14:textId="21CB1888" w:rsidR="00F11D6D" w:rsidRPr="00CB49CF" w:rsidRDefault="00F11D6D" w:rsidP="00F370F1">
      <w:pPr>
        <w:ind w:right="-279"/>
        <w:jc w:val="both"/>
        <w:rPr>
          <w:rFonts w:ascii="Times New Roman" w:hAnsi="Times New Roman" w:cs="Times New Roman"/>
          <w:sz w:val="24"/>
          <w:szCs w:val="24"/>
        </w:rPr>
      </w:pPr>
      <w:r w:rsidRPr="00CB49CF">
        <w:rPr>
          <w:rFonts w:ascii="Times New Roman" w:hAnsi="Times New Roman" w:cs="Times New Roman"/>
          <w:sz w:val="24"/>
          <w:szCs w:val="24"/>
        </w:rPr>
        <w:t>Prilog X. - Pravilnik za odabir projekata na  natječajima LAG-a Zrinska gora-Turopolje</w:t>
      </w:r>
    </w:p>
    <w:p w14:paraId="75A498F6" w14:textId="77777777" w:rsidR="00F11D6D" w:rsidRPr="00CB49CF" w:rsidRDefault="00F11D6D" w:rsidP="00F370F1">
      <w:pPr>
        <w:ind w:right="-279"/>
        <w:jc w:val="both"/>
        <w:rPr>
          <w:rFonts w:ascii="Times New Roman" w:hAnsi="Times New Roman" w:cs="Times New Roman"/>
          <w:sz w:val="24"/>
          <w:szCs w:val="24"/>
        </w:rPr>
      </w:pPr>
      <w:r w:rsidRPr="00CB49CF">
        <w:rPr>
          <w:rFonts w:ascii="Times New Roman" w:hAnsi="Times New Roman" w:cs="Times New Roman"/>
          <w:sz w:val="24"/>
          <w:szCs w:val="24"/>
        </w:rPr>
        <w:t>Prilog XI. – Izjava nositelja projekta o osiguranju sredstava</w:t>
      </w:r>
    </w:p>
    <w:p w14:paraId="31A99F72" w14:textId="468D1678" w:rsidR="00F11D6D" w:rsidRPr="005E24D1" w:rsidRDefault="00F11D6D" w:rsidP="00F370F1">
      <w:pPr>
        <w:ind w:right="-27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sectPr w:rsidR="00F11D6D" w:rsidRPr="005E24D1" w:rsidSect="00490E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471D" w14:textId="77777777" w:rsidR="007529A7" w:rsidRDefault="007529A7">
      <w:r>
        <w:separator/>
      </w:r>
    </w:p>
  </w:endnote>
  <w:endnote w:type="continuationSeparator" w:id="0">
    <w:p w14:paraId="07663AA2" w14:textId="77777777" w:rsidR="007529A7" w:rsidRDefault="007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F85584" w:rsidRDefault="00F85584">
        <w:pPr>
          <w:pStyle w:val="Footer"/>
          <w:jc w:val="right"/>
        </w:pPr>
        <w:r>
          <w:fldChar w:fldCharType="begin"/>
        </w:r>
        <w:r>
          <w:instrText xml:space="preserve"> PAGE   \* MERGEFORMAT </w:instrText>
        </w:r>
        <w:r>
          <w:fldChar w:fldCharType="separate"/>
        </w:r>
        <w:r w:rsidR="00957A2F">
          <w:rPr>
            <w:noProof/>
          </w:rPr>
          <w:t>26</w:t>
        </w:r>
        <w:r>
          <w:rPr>
            <w:noProof/>
          </w:rPr>
          <w:fldChar w:fldCharType="end"/>
        </w:r>
      </w:p>
    </w:sdtContent>
  </w:sdt>
  <w:p w14:paraId="302CB4C9" w14:textId="77777777" w:rsidR="00F85584" w:rsidRPr="00FD08E3" w:rsidRDefault="00F85584" w:rsidP="00E25088">
    <w:pPr>
      <w:pStyle w:val="Footer"/>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F85584" w:rsidRPr="00FD08E3" w:rsidRDefault="00F8558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588F1" w14:textId="77777777" w:rsidR="007529A7" w:rsidRDefault="007529A7">
      <w:r>
        <w:separator/>
      </w:r>
    </w:p>
  </w:footnote>
  <w:footnote w:type="continuationSeparator" w:id="0">
    <w:p w14:paraId="1CB81C20" w14:textId="77777777" w:rsidR="007529A7" w:rsidRDefault="007529A7">
      <w:r>
        <w:continuationSeparator/>
      </w:r>
    </w:p>
  </w:footnote>
  <w:footnote w:id="1">
    <w:p w14:paraId="28777327" w14:textId="48D2FB3C" w:rsidR="00F85584" w:rsidRPr="00FB5286" w:rsidRDefault="00F85584" w:rsidP="00142A0F">
      <w:pPr>
        <w:pStyle w:val="FootnoteText"/>
        <w:jc w:val="both"/>
        <w:rPr>
          <w:rFonts w:ascii="Times New Roman" w:hAnsi="Times New Roman" w:cs="Times New Roman"/>
        </w:rPr>
      </w:pPr>
      <w:r w:rsidRPr="001C537E">
        <w:rPr>
          <w:rStyle w:val="FootnoteReferenc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yperlink"/>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F85584" w:rsidRDefault="00F85584" w:rsidP="00E11A77">
      <w:pPr>
        <w:pStyle w:val="FootnoteText"/>
        <w:jc w:val="both"/>
      </w:pPr>
      <w:r>
        <w:rPr>
          <w:rStyle w:val="FootnoteReferenc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F85584" w:rsidRDefault="00F85584" w:rsidP="00E11A77">
      <w:pPr>
        <w:pStyle w:val="FootnoteText"/>
        <w:jc w:val="both"/>
      </w:pPr>
      <w:r>
        <w:rPr>
          <w:rStyle w:val="FootnoteReferenc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F85584" w:rsidRDefault="00F85584" w:rsidP="00125807">
      <w:pPr>
        <w:pStyle w:val="FootnoteText"/>
        <w:jc w:val="both"/>
      </w:pPr>
      <w:r>
        <w:rPr>
          <w:rStyle w:val="FootnoteReferenc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F85584" w:rsidRDefault="00F85584" w:rsidP="00D731DB">
      <w:pPr>
        <w:pStyle w:val="FootnoteText"/>
        <w:jc w:val="both"/>
      </w:pPr>
      <w:r>
        <w:rPr>
          <w:rStyle w:val="FootnoteReferenc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F85584" w:rsidRDefault="00F85584">
    <w:pPr>
      <w:pStyle w:val="Header"/>
    </w:pPr>
  </w:p>
  <w:p w14:paraId="788CB6B7" w14:textId="77777777" w:rsidR="00F85584" w:rsidRDefault="00F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13D"/>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A7FF7"/>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2A76"/>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7A4"/>
    <w:rsid w:val="00245CCB"/>
    <w:rsid w:val="002460FB"/>
    <w:rsid w:val="0024742F"/>
    <w:rsid w:val="00247AF5"/>
    <w:rsid w:val="00250A16"/>
    <w:rsid w:val="00251259"/>
    <w:rsid w:val="00252028"/>
    <w:rsid w:val="002541EA"/>
    <w:rsid w:val="00254F34"/>
    <w:rsid w:val="00255B4D"/>
    <w:rsid w:val="002560F0"/>
    <w:rsid w:val="00256655"/>
    <w:rsid w:val="00256804"/>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354E"/>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329"/>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5E1D"/>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25E3"/>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4C"/>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47F8"/>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3973"/>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E3B"/>
    <w:rsid w:val="005D0FA7"/>
    <w:rsid w:val="005D1B97"/>
    <w:rsid w:val="005D1E3B"/>
    <w:rsid w:val="005D2181"/>
    <w:rsid w:val="005D356B"/>
    <w:rsid w:val="005D41C5"/>
    <w:rsid w:val="005D431B"/>
    <w:rsid w:val="005D4E31"/>
    <w:rsid w:val="005D5BD9"/>
    <w:rsid w:val="005E0055"/>
    <w:rsid w:val="005E046B"/>
    <w:rsid w:val="005E10AC"/>
    <w:rsid w:val="005E12A2"/>
    <w:rsid w:val="005E24D1"/>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65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27B3A"/>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3A2"/>
    <w:rsid w:val="00747660"/>
    <w:rsid w:val="0075032B"/>
    <w:rsid w:val="007510EF"/>
    <w:rsid w:val="007516D7"/>
    <w:rsid w:val="007529A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1A5F"/>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A2F"/>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1AC"/>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6C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498"/>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0C86"/>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9CF"/>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482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13B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5DC"/>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1D6D"/>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58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331B"/>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Heading1">
    <w:name w:val="heading 1"/>
    <w:basedOn w:val="Normal"/>
    <w:next w:val="Normal"/>
    <w:link w:val="Heading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CA17-4B93-436C-8C65-B62E9BF6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7732</Words>
  <Characters>44079</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Robert</cp:lastModifiedBy>
  <cp:revision>10</cp:revision>
  <cp:lastPrinted>2018-02-09T15:23:00Z</cp:lastPrinted>
  <dcterms:created xsi:type="dcterms:W3CDTF">2018-11-23T11:53:00Z</dcterms:created>
  <dcterms:modified xsi:type="dcterms:W3CDTF">2018-11-29T13:44:00Z</dcterms:modified>
</cp:coreProperties>
</file>